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eastAsia="方正小标宋简体" w:cs="宋体" w:hAnsiTheme="majorEastAsia"/>
          <w:color w:val="auto"/>
          <w:kern w:val="0"/>
          <w:sz w:val="44"/>
          <w:szCs w:val="44"/>
        </w:rPr>
      </w:pPr>
      <w:r>
        <w:rPr>
          <w:rFonts w:hint="eastAsia" w:ascii="方正小标宋简体" w:eastAsia="方正小标宋简体" w:hAnsiTheme="majorEastAsia"/>
          <w:color w:val="auto"/>
          <w:sz w:val="44"/>
          <w:szCs w:val="44"/>
          <w:lang w:eastAsia="zh-CN"/>
        </w:rPr>
        <w:t>张少全</w:t>
      </w:r>
      <w:r>
        <w:rPr>
          <w:rFonts w:hint="eastAsia" w:ascii="方正小标宋简体" w:eastAsia="方正小标宋简体" w:cs="宋体" w:hAnsiTheme="majorEastAsia"/>
          <w:color w:val="auto"/>
          <w:kern w:val="0"/>
          <w:sz w:val="44"/>
          <w:szCs w:val="44"/>
        </w:rPr>
        <w:t>201</w:t>
      </w:r>
      <w:r>
        <w:rPr>
          <w:rFonts w:hint="eastAsia" w:ascii="方正小标宋简体" w:eastAsia="方正小标宋简体" w:cs="宋体" w:hAnsiTheme="majorEastAsia"/>
          <w:color w:val="auto"/>
          <w:kern w:val="0"/>
          <w:sz w:val="44"/>
          <w:szCs w:val="44"/>
          <w:lang w:val="en-US" w:eastAsia="zh-CN"/>
        </w:rPr>
        <w:t>9</w:t>
      </w:r>
      <w:r>
        <w:rPr>
          <w:rFonts w:hint="eastAsia" w:ascii="方正小标宋简体" w:eastAsia="方正小标宋简体" w:cs="宋体" w:hAnsiTheme="majorEastAsia"/>
          <w:color w:val="auto"/>
          <w:kern w:val="0"/>
          <w:sz w:val="44"/>
          <w:szCs w:val="44"/>
        </w:rPr>
        <w:t>年度述职述德述廉报告</w:t>
      </w:r>
    </w:p>
    <w:p>
      <w:pPr>
        <w:spacing w:line="560" w:lineRule="exact"/>
        <w:rPr>
          <w:rFonts w:cs="宋体" w:asciiTheme="majorEastAsia" w:hAnsiTheme="majorEastAsia" w:eastAsiaTheme="majorEastAsia"/>
          <w:b/>
          <w:color w:val="auto"/>
          <w:kern w:val="0"/>
          <w:sz w:val="44"/>
          <w:szCs w:val="44"/>
        </w:rPr>
      </w:pPr>
    </w:p>
    <w:p>
      <w:pPr>
        <w:spacing w:line="560" w:lineRule="exact"/>
        <w:ind w:firstLine="800" w:firstLineChars="250"/>
        <w:rPr>
          <w:rFonts w:ascii="仿宋" w:hAnsi="仿宋" w:eastAsia="仿宋" w:cs="宋体"/>
          <w:color w:val="auto"/>
          <w:kern w:val="0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z w:val="32"/>
          <w:szCs w:val="32"/>
        </w:rPr>
        <w:t>201</w:t>
      </w:r>
      <w:r>
        <w:rPr>
          <w:rFonts w:hint="eastAsia" w:ascii="仿宋" w:hAnsi="仿宋" w:eastAsia="仿宋"/>
          <w:bCs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年，在</w:t>
      </w:r>
      <w:r>
        <w:rPr>
          <w:rFonts w:hint="eastAsia" w:ascii="仿宋" w:hAnsi="仿宋" w:eastAsia="仿宋"/>
          <w:bCs/>
          <w:color w:val="auto"/>
          <w:sz w:val="32"/>
          <w:szCs w:val="32"/>
          <w:lang w:eastAsia="zh-CN"/>
        </w:rPr>
        <w:t>院长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正确领导、同事的支持和配合下，紧紧围绕《山东理工大学深化研究生教育改革实施方案》及年度工作任务，认真履行岗位职责，</w:t>
      </w:r>
      <w:r>
        <w:rPr>
          <w:rFonts w:hint="eastAsia" w:ascii="仿宋" w:hAnsi="仿宋" w:eastAsia="仿宋"/>
          <w:color w:val="auto"/>
          <w:sz w:val="32"/>
          <w:szCs w:val="32"/>
        </w:rPr>
        <w:t>圆满完成了年度工作任务。</w:t>
      </w:r>
    </w:p>
    <w:p>
      <w:pPr>
        <w:spacing w:line="560" w:lineRule="exact"/>
        <w:ind w:firstLine="645"/>
        <w:rPr>
          <w:rFonts w:hint="eastAsia" w:ascii="仿宋" w:hAnsi="仿宋" w:eastAsia="仿宋"/>
          <w:b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一、加强理论学习，提高政治素</w:t>
      </w:r>
      <w:r>
        <w:rPr>
          <w:rFonts w:hint="eastAsia" w:ascii="仿宋" w:hAnsi="仿宋" w:eastAsia="仿宋"/>
          <w:b/>
          <w:color w:val="auto"/>
          <w:sz w:val="32"/>
          <w:szCs w:val="32"/>
          <w:lang w:eastAsia="zh-CN"/>
        </w:rPr>
        <w:t>养</w:t>
      </w:r>
    </w:p>
    <w:p>
      <w:pPr>
        <w:spacing w:line="560" w:lineRule="exact"/>
        <w:ind w:firstLine="800" w:firstLineChars="250"/>
        <w:rPr>
          <w:rFonts w:hint="eastAsia" w:ascii="仿宋" w:hAnsi="仿宋" w:eastAsia="仿宋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z w:val="32"/>
          <w:szCs w:val="32"/>
          <w:lang w:val="en-US" w:eastAsia="zh-CN"/>
        </w:rPr>
        <w:t>认真学习党的十九大精神，深入学习贯彻习近平新时代中国特色社会主义思想；加强高等教育理论及政策的学习，学以致用，增强了科学管理能力和行政服务能力。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bCs/>
          <w:color w:val="auto"/>
          <w:sz w:val="30"/>
          <w:szCs w:val="30"/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  <w:lang w:eastAsia="zh-CN"/>
        </w:rPr>
        <w:t>二、</w:t>
      </w:r>
      <w:r>
        <w:rPr>
          <w:rFonts w:hint="eastAsia" w:ascii="仿宋_GB2312" w:eastAsia="仿宋_GB2312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改革人才选拔模式</w:t>
      </w:r>
      <w:r>
        <w:rPr>
          <w:rFonts w:hint="eastAsia" w:ascii="仿宋_GB2312" w:eastAsia="仿宋_GB2312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eastAsia="仿宋_GB2312"/>
          <w:b/>
          <w:bCs/>
          <w:color w:val="auto"/>
          <w:sz w:val="30"/>
          <w:szCs w:val="30"/>
        </w:rPr>
        <w:t>吸引</w:t>
      </w:r>
      <w:r>
        <w:rPr>
          <w:rFonts w:hint="eastAsia" w:ascii="仿宋_GB2312" w:eastAsia="仿宋_GB2312"/>
          <w:b/>
          <w:bCs/>
          <w:color w:val="auto"/>
          <w:sz w:val="30"/>
          <w:szCs w:val="30"/>
          <w:lang w:eastAsia="zh-CN"/>
        </w:rPr>
        <w:t>研究生</w:t>
      </w:r>
      <w:r>
        <w:rPr>
          <w:rFonts w:hint="eastAsia" w:ascii="仿宋_GB2312" w:eastAsia="仿宋_GB2312"/>
          <w:b/>
          <w:bCs/>
          <w:color w:val="auto"/>
          <w:sz w:val="30"/>
          <w:szCs w:val="30"/>
        </w:rPr>
        <w:t>优质生源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Cs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bCs/>
          <w:color w:val="auto"/>
          <w:sz w:val="32"/>
          <w:szCs w:val="32"/>
          <w:lang w:val="en-US" w:eastAsia="zh-CN"/>
        </w:rPr>
        <w:t>（一）建立研究生招生计划动态分配机制，出台《山东理工大学研究生招生计划分配及管理办法》；改革博士研究生选拔机制，出台《山东理工大学“申请-考核”制招收博士研究生暂行办法》。录取2019级博士30人、硕士1059人；报考2020年硕士生5025人，增长30%。遴选2020年优秀生源323名、遴选硕博连读研究生10名，接收“推免生”5名。</w:t>
      </w:r>
    </w:p>
    <w:p>
      <w:pPr>
        <w:spacing w:line="560" w:lineRule="exact"/>
        <w:ind w:firstLine="800" w:firstLineChars="250"/>
        <w:rPr>
          <w:rFonts w:hint="eastAsia" w:ascii="仿宋" w:hAnsi="仿宋" w:eastAsia="仿宋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z w:val="32"/>
          <w:szCs w:val="32"/>
          <w:lang w:val="en-US" w:eastAsia="zh-CN"/>
        </w:rPr>
        <w:t>（二）提高研究生招生考试自命题工作的科学性、规范性和安全性，出台《山东理工大学研究生招生考试自命题工作管理办法》，对研究生招生考试自命题工作进行规范化、制度化管理。2019年组织22个培养单位的152名教师，共命制自命题152套。</w:t>
      </w:r>
    </w:p>
    <w:p>
      <w:pPr>
        <w:spacing w:line="560" w:lineRule="exact"/>
        <w:ind w:firstLine="645"/>
        <w:rPr>
          <w:rFonts w:hint="eastAsia" w:ascii="仿宋" w:hAnsi="仿宋" w:eastAsia="仿宋"/>
          <w:b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b/>
          <w:color w:val="auto"/>
          <w:sz w:val="32"/>
          <w:szCs w:val="32"/>
        </w:rPr>
        <w:t>、</w:t>
      </w:r>
      <w:r>
        <w:rPr>
          <w:rFonts w:hint="eastAsia" w:ascii="仿宋" w:hAnsi="仿宋" w:eastAsia="仿宋"/>
          <w:b/>
          <w:color w:val="auto"/>
          <w:sz w:val="32"/>
          <w:szCs w:val="32"/>
          <w:lang w:eastAsia="zh-CN"/>
        </w:rPr>
        <w:t>做好研究生分类培养工作，提高研究生培养质量</w:t>
      </w:r>
    </w:p>
    <w:p>
      <w:pPr>
        <w:spacing w:line="560" w:lineRule="exact"/>
        <w:ind w:firstLine="800" w:firstLineChars="250"/>
        <w:rPr>
          <w:rFonts w:hint="eastAsia" w:ascii="仿宋" w:hAnsi="仿宋" w:eastAsia="仿宋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z w:val="32"/>
          <w:szCs w:val="32"/>
          <w:lang w:val="en-US" w:eastAsia="zh-CN"/>
        </w:rPr>
        <w:t>（一）积极推进研究生分类培养体系建设。修订了学术博士研究生、硕博连读、学术硕士研究生、专业硕士研究生（非全日制）、国际学生（博士、硕士）7大类，共计110余个培养方案。</w:t>
      </w:r>
    </w:p>
    <w:p>
      <w:pPr>
        <w:spacing w:line="560" w:lineRule="exact"/>
        <w:ind w:firstLine="800" w:firstLineChars="250"/>
        <w:rPr>
          <w:rFonts w:hint="eastAsia" w:ascii="仿宋" w:hAnsi="仿宋" w:eastAsia="仿宋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z w:val="32"/>
          <w:szCs w:val="32"/>
          <w:lang w:val="en-US" w:eastAsia="zh-CN"/>
        </w:rPr>
        <w:t>（二）积极开展研究生教育教学改革。积极开展了教改项目、优质课程、案例库以及创新团队建设工作以及研究生优秀成果奖评审工作。2019年共立项校级项目85项，26个项目获批省级立项，24名研究生获得校级优秀成果奖，18名研究生获得省级优秀成果奖。</w:t>
      </w:r>
    </w:p>
    <w:p>
      <w:pPr>
        <w:spacing w:line="560" w:lineRule="exact"/>
        <w:ind w:firstLine="800" w:firstLineChars="250"/>
        <w:rPr>
          <w:rFonts w:hint="eastAsia" w:ascii="仿宋" w:hAnsi="仿宋" w:eastAsia="仿宋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z w:val="32"/>
          <w:szCs w:val="32"/>
          <w:lang w:val="en-US" w:eastAsia="zh-CN"/>
        </w:rPr>
        <w:t>（二）积极推进研究生国际化教育。共投入47万元用于资助59名研究生参与国际交流；共接收12名国际研究生来校学习；建设联合培养平台17个。组织了省级国际交流项目工作，共有4名博士参加国际学术会议、4名博士参加出国研修、4名导师参加出国研修入选省级资助项目。</w:t>
      </w:r>
    </w:p>
    <w:p>
      <w:pPr>
        <w:spacing w:line="560" w:lineRule="exact"/>
        <w:ind w:firstLine="720"/>
        <w:rPr>
          <w:rFonts w:hint="eastAsia" w:ascii="仿宋" w:hAnsi="仿宋" w:eastAsia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</w:rPr>
        <w:t>四</w:t>
      </w:r>
      <w:r>
        <w:rPr>
          <w:rFonts w:ascii="仿宋" w:hAnsi="仿宋" w:eastAsia="仿宋"/>
          <w:b/>
          <w:bCs/>
          <w:color w:val="auto"/>
          <w:sz w:val="32"/>
          <w:szCs w:val="32"/>
        </w:rPr>
        <w:t>、做好</w:t>
      </w:r>
      <w:r>
        <w:rPr>
          <w:rFonts w:hint="eastAsia" w:ascii="仿宋" w:hAnsi="仿宋" w:eastAsia="仿宋"/>
          <w:b/>
          <w:bCs/>
          <w:color w:val="auto"/>
          <w:sz w:val="32"/>
          <w:szCs w:val="32"/>
          <w:lang w:eastAsia="zh-CN"/>
        </w:rPr>
        <w:t>支部党建工作，加强机关作风建设</w:t>
      </w:r>
    </w:p>
    <w:p>
      <w:pPr>
        <w:spacing w:line="560" w:lineRule="exact"/>
        <w:ind w:firstLine="800" w:firstLineChars="250"/>
        <w:rPr>
          <w:rFonts w:hint="eastAsia" w:ascii="仿宋" w:hAnsi="仿宋" w:eastAsia="仿宋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z w:val="32"/>
          <w:szCs w:val="32"/>
          <w:lang w:val="en-US" w:eastAsia="zh-CN"/>
        </w:rPr>
        <w:t>作为研究生院党支部书记，按照机关党委的要求组织支部的“三会一课”和实践活动。组织两次实践学习活动，一是威海党性教育基地参观学习，二是朱彦夫事迹展览馆参观学习。</w:t>
      </w:r>
    </w:p>
    <w:p>
      <w:pPr>
        <w:spacing w:line="560" w:lineRule="exact"/>
        <w:ind w:firstLine="643" w:firstLineChars="200"/>
        <w:rPr>
          <w:rFonts w:ascii="仿宋" w:hAnsi="仿宋" w:eastAsia="仿宋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五</w:t>
      </w:r>
      <w:r>
        <w:rPr>
          <w:rFonts w:ascii="仿宋" w:hAnsi="仿宋" w:eastAsia="仿宋"/>
          <w:b/>
          <w:color w:val="auto"/>
          <w:sz w:val="32"/>
          <w:szCs w:val="32"/>
        </w:rPr>
        <w:t>、严格遵守党规党纪，</w:t>
      </w:r>
      <w:r>
        <w:rPr>
          <w:rFonts w:hint="eastAsia" w:ascii="仿宋" w:hAnsi="仿宋" w:eastAsia="仿宋"/>
          <w:b/>
          <w:color w:val="auto"/>
          <w:sz w:val="32"/>
          <w:szCs w:val="32"/>
        </w:rPr>
        <w:t>提高廉洁自律</w:t>
      </w:r>
      <w:r>
        <w:rPr>
          <w:rFonts w:ascii="仿宋" w:hAnsi="仿宋" w:eastAsia="仿宋"/>
          <w:b/>
          <w:color w:val="auto"/>
          <w:sz w:val="32"/>
          <w:szCs w:val="32"/>
        </w:rPr>
        <w:t>意识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z w:val="32"/>
          <w:szCs w:val="32"/>
          <w:lang w:val="en-US" w:eastAsia="zh-CN"/>
        </w:rPr>
        <w:t>落实中央八项规定和实施细则精神，严格执行纪委的规章制度，严格执行廉洁自律准则。</w:t>
      </w:r>
      <w:r>
        <w:rPr>
          <w:rFonts w:hint="eastAsia" w:ascii="仿宋" w:hAnsi="仿宋" w:eastAsia="仿宋"/>
          <w:sz w:val="32"/>
          <w:szCs w:val="32"/>
        </w:rPr>
        <w:t>如实申报个人有关事项，无违规违纪行为。</w:t>
      </w:r>
    </w:p>
    <w:p>
      <w:pPr>
        <w:spacing w:line="560" w:lineRule="exact"/>
        <w:ind w:firstLine="800" w:firstLineChars="250"/>
        <w:rPr>
          <w:rFonts w:hint="eastAsia" w:ascii="仿宋" w:hAnsi="仿宋" w:eastAsia="仿宋"/>
          <w:bCs/>
          <w:color w:val="auto"/>
          <w:sz w:val="32"/>
          <w:szCs w:val="32"/>
          <w:lang w:val="en-US" w:eastAsia="zh-CN"/>
        </w:rPr>
      </w:pPr>
    </w:p>
    <w:p>
      <w:pPr>
        <w:spacing w:line="560" w:lineRule="exact"/>
        <w:rPr>
          <w:color w:val="auto"/>
        </w:rPr>
      </w:pPr>
      <w:r>
        <w:rPr>
          <w:color w:val="auto"/>
        </w:rPr>
        <w:t xml:space="preserve">                                                </w:t>
      </w:r>
      <w:r>
        <w:rPr>
          <w:rFonts w:ascii="仿宋" w:hAnsi="仿宋" w:eastAsia="仿宋"/>
          <w:color w:val="auto"/>
          <w:sz w:val="32"/>
          <w:szCs w:val="32"/>
        </w:rPr>
        <w:t xml:space="preserve">    201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3FD"/>
    <w:rsid w:val="00017D8D"/>
    <w:rsid w:val="0008186B"/>
    <w:rsid w:val="000B1D26"/>
    <w:rsid w:val="000E2533"/>
    <w:rsid w:val="00135012"/>
    <w:rsid w:val="001B2BEF"/>
    <w:rsid w:val="002255C4"/>
    <w:rsid w:val="00285597"/>
    <w:rsid w:val="003073F0"/>
    <w:rsid w:val="003357FA"/>
    <w:rsid w:val="0037586D"/>
    <w:rsid w:val="00387E69"/>
    <w:rsid w:val="003B5274"/>
    <w:rsid w:val="004C3F34"/>
    <w:rsid w:val="00501A5A"/>
    <w:rsid w:val="005B1DA0"/>
    <w:rsid w:val="00644DA1"/>
    <w:rsid w:val="00647337"/>
    <w:rsid w:val="006553FD"/>
    <w:rsid w:val="006B5B29"/>
    <w:rsid w:val="006B64E3"/>
    <w:rsid w:val="0071768A"/>
    <w:rsid w:val="007925F3"/>
    <w:rsid w:val="00806542"/>
    <w:rsid w:val="0084468A"/>
    <w:rsid w:val="0086433D"/>
    <w:rsid w:val="0086499F"/>
    <w:rsid w:val="00921B7A"/>
    <w:rsid w:val="009570B6"/>
    <w:rsid w:val="009C4F31"/>
    <w:rsid w:val="009F69B9"/>
    <w:rsid w:val="00A36FBF"/>
    <w:rsid w:val="00A50D3D"/>
    <w:rsid w:val="00B31EDD"/>
    <w:rsid w:val="00B447D8"/>
    <w:rsid w:val="00B45797"/>
    <w:rsid w:val="00B53D17"/>
    <w:rsid w:val="00C05005"/>
    <w:rsid w:val="00C31408"/>
    <w:rsid w:val="00DC630D"/>
    <w:rsid w:val="00F45407"/>
    <w:rsid w:val="00FC6990"/>
    <w:rsid w:val="0414771B"/>
    <w:rsid w:val="060961A6"/>
    <w:rsid w:val="15842283"/>
    <w:rsid w:val="1A3D1052"/>
    <w:rsid w:val="1E3D6859"/>
    <w:rsid w:val="295A3EA4"/>
    <w:rsid w:val="2ADC1FBE"/>
    <w:rsid w:val="33C159A6"/>
    <w:rsid w:val="50177A52"/>
    <w:rsid w:val="53941FCE"/>
    <w:rsid w:val="54A95A2C"/>
    <w:rsid w:val="54DC07C8"/>
    <w:rsid w:val="66FA440F"/>
    <w:rsid w:val="68B0118B"/>
    <w:rsid w:val="6AA904D9"/>
    <w:rsid w:val="74DA2ABE"/>
    <w:rsid w:val="755F5D53"/>
    <w:rsid w:val="7DAE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next w:val="1"/>
    <w:qFormat/>
    <w:uiPriority w:val="0"/>
    <w:pPr>
      <w:spacing w:beforeLines="38" w:afterLines="38"/>
    </w:pPr>
    <w:rPr>
      <w:rFonts w:ascii="Calibri" w:hAnsi="Calibri" w:eastAsia="宋体" w:cs="Times New Roman"/>
      <w:b/>
      <w:bCs/>
      <w:kern w:val="0"/>
      <w:sz w:val="20"/>
      <w:szCs w:val="20"/>
      <w:lang w:val="en-US" w:eastAsia="zh-CN" w:bidi="ar-SA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3"/>
    <w:qFormat/>
    <w:uiPriority w:val="99"/>
    <w:rPr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eastAsia="仿宋" w:cs="仿宋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214673-F6FB-4F5B-BA87-C141491C06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161</Words>
  <Characters>922</Characters>
  <Lines>7</Lines>
  <Paragraphs>2</Paragraphs>
  <TotalTime>3</TotalTime>
  <ScaleCrop>false</ScaleCrop>
  <LinksUpToDate>false</LinksUpToDate>
  <CharactersWithSpaces>1081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2018-01-06T13:46:00Z</dcterms:created>
  <dc:creator>zsq</dc:creator>
  <cp:lastModifiedBy>lenovovo</cp:lastModifiedBy>
  <cp:lastPrinted>2019-12-20T02:22:36Z</cp:lastPrinted>
  <dcterms:modified xsi:type="dcterms:W3CDTF">2019-12-20T02:24:37Z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