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hAnsi="宋体" w:eastAsia="方正小标宋简体"/>
          <w:sz w:val="44"/>
          <w:szCs w:val="44"/>
        </w:rPr>
        <w:t>禚淑萍201</w:t>
      </w:r>
      <w:r>
        <w:rPr>
          <w:rFonts w:ascii="方正小标宋简体" w:hAnsi="宋体" w:eastAsia="方正小标宋简体"/>
          <w:sz w:val="44"/>
          <w:szCs w:val="44"/>
        </w:rPr>
        <w:t>9</w:t>
      </w:r>
      <w:r>
        <w:rPr>
          <w:rFonts w:hint="eastAsia" w:ascii="方正小标宋简体" w:hAnsi="宋体" w:eastAsia="方正小标宋简体"/>
          <w:sz w:val="44"/>
          <w:szCs w:val="44"/>
        </w:rPr>
        <w:t>年度述职述德述廉报告</w:t>
      </w:r>
    </w:p>
    <w:p>
      <w:pPr>
        <w:spacing w:line="560" w:lineRule="exact"/>
        <w:jc w:val="center"/>
        <w:rPr>
          <w:rFonts w:ascii="Times New Roman"/>
          <w:sz w:val="24"/>
          <w:szCs w:val="24"/>
        </w:rPr>
      </w:pPr>
    </w:p>
    <w:p>
      <w:pPr>
        <w:widowControl/>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2019年在校党委、校行政正确领导和各部门大力支持下，在全院师生共同努力下，认真履行了院长岗位职责，现就履职及廉洁自律情况报告如下。</w:t>
      </w:r>
    </w:p>
    <w:p>
      <w:pPr>
        <w:spacing w:line="560" w:lineRule="atLeast"/>
        <w:rPr>
          <w:rFonts w:ascii="仿宋" w:hAnsi="仿宋" w:eastAsia="仿宋"/>
          <w:b/>
          <w:sz w:val="32"/>
          <w:szCs w:val="32"/>
        </w:rPr>
      </w:pPr>
      <w:r>
        <w:rPr>
          <w:rFonts w:hint="eastAsia" w:ascii="仿宋" w:hAnsi="仿宋" w:eastAsia="仿宋"/>
          <w:b/>
          <w:sz w:val="32"/>
          <w:szCs w:val="32"/>
        </w:rPr>
        <w:t>一、学院工作</w:t>
      </w:r>
    </w:p>
    <w:p>
      <w:pPr>
        <w:widowControl/>
        <w:adjustRightInd w:val="0"/>
        <w:snapToGrid w:val="0"/>
        <w:spacing w:line="560" w:lineRule="atLeast"/>
        <w:ind w:firstLine="480" w:firstLineChars="150"/>
        <w:rPr>
          <w:rFonts w:ascii="仿宋" w:hAnsi="仿宋" w:eastAsia="仿宋" w:cs="宋体"/>
          <w:color w:val="333333"/>
          <w:kern w:val="0"/>
          <w:sz w:val="32"/>
          <w:szCs w:val="32"/>
        </w:rPr>
      </w:pPr>
      <w:r>
        <w:rPr>
          <w:rFonts w:ascii="仿宋" w:hAnsi="仿宋" w:eastAsia="仿宋" w:cs="宋体"/>
          <w:kern w:val="0"/>
          <w:sz w:val="32"/>
          <w:szCs w:val="32"/>
        </w:rPr>
        <w:t>(</w:t>
      </w:r>
      <w:r>
        <w:rPr>
          <w:rFonts w:hint="eastAsia" w:ascii="仿宋" w:hAnsi="仿宋" w:eastAsia="仿宋" w:cs="宋体"/>
          <w:kern w:val="0"/>
          <w:sz w:val="32"/>
          <w:szCs w:val="32"/>
        </w:rPr>
        <w:t>一</w:t>
      </w:r>
      <w:r>
        <w:rPr>
          <w:rFonts w:ascii="仿宋" w:hAnsi="仿宋" w:eastAsia="仿宋" w:cs="宋体"/>
          <w:kern w:val="0"/>
          <w:sz w:val="32"/>
          <w:szCs w:val="32"/>
        </w:rPr>
        <w:t>)</w:t>
      </w:r>
      <w:r>
        <w:rPr>
          <w:rFonts w:hint="eastAsia" w:ascii="仿宋" w:hAnsi="仿宋" w:eastAsia="仿宋" w:cs="宋体"/>
          <w:kern w:val="0"/>
          <w:sz w:val="32"/>
          <w:szCs w:val="32"/>
        </w:rPr>
        <w:t>认真履行学院行政负责人</w:t>
      </w:r>
      <w:r>
        <w:rPr>
          <w:rFonts w:hint="eastAsia" w:ascii="仿宋" w:hAnsi="仿宋" w:eastAsia="仿宋" w:cs="宋体"/>
          <w:color w:val="333333"/>
          <w:kern w:val="0"/>
          <w:sz w:val="32"/>
          <w:szCs w:val="32"/>
        </w:rPr>
        <w:t>职责，完成学校布置的各项工作任务。</w:t>
      </w:r>
    </w:p>
    <w:p>
      <w:pPr>
        <w:spacing w:line="560" w:lineRule="atLeast"/>
        <w:ind w:firstLine="480" w:firstLineChars="150"/>
        <w:rPr>
          <w:rFonts w:ascii="仿宋" w:hAnsi="仿宋" w:eastAsia="仿宋"/>
          <w:sz w:val="32"/>
          <w:szCs w:val="32"/>
        </w:rPr>
      </w:pPr>
      <w:r>
        <w:rPr>
          <w:rFonts w:hint="eastAsia" w:ascii="仿宋" w:hAnsi="仿宋" w:eastAsia="仿宋"/>
          <w:sz w:val="32"/>
          <w:szCs w:val="32"/>
        </w:rPr>
        <w:t>（二）学科和科研工作建设取得新突破。化学学科进入ESI前1%，山东省一流学科建设年度考核和中期考核获优秀成绩；获批教育部无氯氟聚氨酯泡沫材料工程研究中心1个，获山东省</w:t>
      </w:r>
      <w:r>
        <w:rPr>
          <w:rFonts w:ascii="仿宋" w:hAnsi="仿宋" w:eastAsia="仿宋"/>
          <w:sz w:val="32"/>
          <w:szCs w:val="32"/>
        </w:rPr>
        <w:t>发明一等</w:t>
      </w:r>
      <w:r>
        <w:rPr>
          <w:rFonts w:hint="eastAsia" w:ascii="仿宋" w:hAnsi="仿宋" w:eastAsia="仿宋"/>
          <w:sz w:val="32"/>
          <w:szCs w:val="32"/>
        </w:rPr>
        <w:t>奖</w:t>
      </w:r>
      <w:r>
        <w:rPr>
          <w:rFonts w:ascii="仿宋" w:hAnsi="仿宋" w:eastAsia="仿宋"/>
          <w:sz w:val="32"/>
          <w:szCs w:val="32"/>
        </w:rPr>
        <w:t>1</w:t>
      </w:r>
      <w:r>
        <w:rPr>
          <w:rFonts w:hint="eastAsia" w:ascii="仿宋" w:hAnsi="仿宋" w:eastAsia="仿宋"/>
          <w:sz w:val="32"/>
          <w:szCs w:val="32"/>
        </w:rPr>
        <w:t>项；获国家自然科学基金10项，</w:t>
      </w:r>
      <w:r>
        <w:rPr>
          <w:rFonts w:ascii="仿宋" w:hAnsi="仿宋" w:eastAsia="仿宋"/>
          <w:sz w:val="32"/>
          <w:szCs w:val="32"/>
        </w:rPr>
        <w:t>其中</w:t>
      </w:r>
      <w:r>
        <w:rPr>
          <w:rFonts w:hint="eastAsia" w:ascii="仿宋" w:hAnsi="仿宋" w:eastAsia="仿宋"/>
          <w:sz w:val="32"/>
          <w:szCs w:val="32"/>
        </w:rPr>
        <w:t>面上课题4项，青年基金6项，获省部级项目9项，其中省重点研发项目</w:t>
      </w:r>
      <w:r>
        <w:rPr>
          <w:rFonts w:ascii="仿宋" w:hAnsi="仿宋" w:eastAsia="仿宋"/>
          <w:sz w:val="32"/>
          <w:szCs w:val="32"/>
        </w:rPr>
        <w:t>2</w:t>
      </w:r>
      <w:r>
        <w:rPr>
          <w:rFonts w:hint="eastAsia" w:ascii="仿宋" w:hAnsi="仿宋" w:eastAsia="仿宋"/>
          <w:sz w:val="32"/>
          <w:szCs w:val="32"/>
        </w:rPr>
        <w:t>项，省科学基金项目7项；到账科研经费</w:t>
      </w:r>
      <w:r>
        <w:rPr>
          <w:rFonts w:hint="eastAsia" w:ascii="仿宋" w:hAnsi="仿宋" w:eastAsia="仿宋"/>
          <w:sz w:val="32"/>
          <w:szCs w:val="32"/>
          <w:lang w:val="en-US" w:eastAsia="zh-CN"/>
        </w:rPr>
        <w:t>2590</w:t>
      </w:r>
      <w:r>
        <w:rPr>
          <w:rFonts w:hint="eastAsia" w:ascii="仿宋" w:hAnsi="仿宋" w:eastAsia="仿宋"/>
          <w:sz w:val="32"/>
          <w:szCs w:val="32"/>
        </w:rPr>
        <w:t>万元。授权发明专</w:t>
      </w:r>
      <w:bookmarkStart w:id="0" w:name="_GoBack"/>
      <w:bookmarkEnd w:id="0"/>
      <w:r>
        <w:rPr>
          <w:rFonts w:hint="eastAsia" w:ascii="仿宋" w:hAnsi="仿宋" w:eastAsia="仿宋"/>
          <w:sz w:val="32"/>
          <w:szCs w:val="32"/>
        </w:rPr>
        <w:t>利42项；发表学术论文</w:t>
      </w:r>
      <w:r>
        <w:rPr>
          <w:rFonts w:ascii="仿宋" w:hAnsi="仿宋" w:eastAsia="仿宋"/>
          <w:sz w:val="32"/>
          <w:szCs w:val="32"/>
        </w:rPr>
        <w:t>1</w:t>
      </w:r>
      <w:r>
        <w:rPr>
          <w:rFonts w:hint="eastAsia" w:ascii="仿宋" w:hAnsi="仿宋" w:eastAsia="仿宋"/>
          <w:sz w:val="32"/>
          <w:szCs w:val="32"/>
        </w:rPr>
        <w:t>43篇，其中被SCI、EI收录122篇，出版学术专著1部；</w:t>
      </w:r>
      <w:r>
        <w:rPr>
          <w:rFonts w:ascii="仿宋" w:hAnsi="仿宋" w:eastAsia="仿宋"/>
          <w:sz w:val="32"/>
          <w:szCs w:val="32"/>
        </w:rPr>
        <w:t>举办</w:t>
      </w:r>
      <w:r>
        <w:rPr>
          <w:rFonts w:hint="eastAsia" w:ascii="仿宋" w:hAnsi="仿宋" w:eastAsia="仿宋"/>
          <w:sz w:val="32"/>
          <w:szCs w:val="32"/>
        </w:rPr>
        <w:t>或协办</w:t>
      </w:r>
      <w:r>
        <w:rPr>
          <w:rFonts w:ascii="仿宋" w:hAnsi="仿宋" w:eastAsia="仿宋"/>
          <w:sz w:val="32"/>
          <w:szCs w:val="32"/>
        </w:rPr>
        <w:t>学术会议</w:t>
      </w:r>
      <w:r>
        <w:rPr>
          <w:rFonts w:hint="eastAsia" w:ascii="仿宋" w:hAnsi="仿宋" w:eastAsia="仿宋"/>
          <w:sz w:val="32"/>
          <w:szCs w:val="32"/>
        </w:rPr>
        <w:t>3次，</w:t>
      </w:r>
      <w:r>
        <w:rPr>
          <w:rFonts w:ascii="仿宋" w:hAnsi="仿宋" w:eastAsia="仿宋"/>
          <w:sz w:val="32"/>
          <w:szCs w:val="32"/>
        </w:rPr>
        <w:t>举办学术报告会</w:t>
      </w:r>
      <w:r>
        <w:rPr>
          <w:rFonts w:hint="eastAsia" w:ascii="仿宋" w:hAnsi="仿宋" w:eastAsia="仿宋"/>
          <w:sz w:val="32"/>
          <w:szCs w:val="32"/>
        </w:rPr>
        <w:t>31场。</w:t>
      </w:r>
    </w:p>
    <w:p>
      <w:pPr>
        <w:spacing w:line="560" w:lineRule="atLeast"/>
        <w:ind w:firstLine="640" w:firstLineChars="200"/>
        <w:rPr>
          <w:rFonts w:hint="eastAsia" w:ascii="仿宋" w:hAnsi="仿宋" w:eastAsia="仿宋"/>
          <w:sz w:val="32"/>
          <w:szCs w:val="32"/>
        </w:rPr>
      </w:pPr>
      <w:r>
        <w:rPr>
          <w:rFonts w:hint="eastAsia" w:ascii="仿宋" w:hAnsi="仿宋" w:eastAsia="仿宋"/>
          <w:sz w:val="32"/>
          <w:szCs w:val="32"/>
        </w:rPr>
        <w:t>（三）教学和</w:t>
      </w:r>
      <w:r>
        <w:rPr>
          <w:rFonts w:ascii="仿宋" w:hAnsi="仿宋" w:eastAsia="仿宋"/>
          <w:sz w:val="32"/>
          <w:szCs w:val="32"/>
        </w:rPr>
        <w:t>学生</w:t>
      </w:r>
      <w:r>
        <w:rPr>
          <w:rFonts w:hint="eastAsia" w:ascii="仿宋" w:hAnsi="仿宋" w:eastAsia="仿宋"/>
          <w:sz w:val="32"/>
          <w:szCs w:val="32"/>
        </w:rPr>
        <w:t>工作取得新成绩。加强</w:t>
      </w:r>
      <w:r>
        <w:rPr>
          <w:rFonts w:ascii="仿宋" w:hAnsi="仿宋" w:eastAsia="仿宋"/>
          <w:sz w:val="32"/>
          <w:szCs w:val="32"/>
        </w:rPr>
        <w:t>专业建设</w:t>
      </w:r>
      <w:r>
        <w:rPr>
          <w:rFonts w:hint="eastAsia" w:ascii="仿宋" w:hAnsi="仿宋" w:eastAsia="仿宋"/>
          <w:sz w:val="32"/>
          <w:szCs w:val="32"/>
        </w:rPr>
        <w:t>，扎实</w:t>
      </w:r>
      <w:r>
        <w:rPr>
          <w:rFonts w:ascii="仿宋" w:hAnsi="仿宋" w:eastAsia="仿宋"/>
          <w:sz w:val="32"/>
          <w:szCs w:val="32"/>
        </w:rPr>
        <w:t>推进</w:t>
      </w:r>
      <w:r>
        <w:rPr>
          <w:rFonts w:hint="eastAsia" w:ascii="仿宋" w:hAnsi="仿宋" w:eastAsia="仿宋"/>
          <w:sz w:val="32"/>
          <w:szCs w:val="32"/>
        </w:rPr>
        <w:t>化学工程</w:t>
      </w:r>
      <w:r>
        <w:rPr>
          <w:rFonts w:ascii="仿宋" w:hAnsi="仿宋" w:eastAsia="仿宋"/>
          <w:sz w:val="32"/>
          <w:szCs w:val="32"/>
        </w:rPr>
        <w:t>与工艺</w:t>
      </w:r>
      <w:r>
        <w:rPr>
          <w:rFonts w:hint="eastAsia" w:ascii="仿宋" w:hAnsi="仿宋" w:eastAsia="仿宋"/>
          <w:sz w:val="32"/>
          <w:szCs w:val="32"/>
        </w:rPr>
        <w:t>工程教育专业认证、化学师范专业认证、应用化学专业评估等</w:t>
      </w:r>
      <w:r>
        <w:rPr>
          <w:rFonts w:ascii="仿宋" w:hAnsi="仿宋" w:eastAsia="仿宋"/>
          <w:sz w:val="32"/>
          <w:szCs w:val="32"/>
        </w:rPr>
        <w:t>工作</w:t>
      </w:r>
      <w:r>
        <w:rPr>
          <w:rFonts w:hint="eastAsia" w:ascii="仿宋" w:hAnsi="仿宋" w:eastAsia="仿宋"/>
          <w:sz w:val="32"/>
          <w:szCs w:val="32"/>
        </w:rPr>
        <w:t>；完成山东省教育服务新旧动能转换专业对接产业项目化学工程与工艺专业群年度建设</w:t>
      </w:r>
      <w:r>
        <w:rPr>
          <w:rFonts w:ascii="仿宋" w:hAnsi="仿宋" w:eastAsia="仿宋"/>
          <w:sz w:val="32"/>
          <w:szCs w:val="32"/>
        </w:rPr>
        <w:t>任务</w:t>
      </w:r>
      <w:r>
        <w:rPr>
          <w:rFonts w:hint="eastAsia" w:ascii="仿宋" w:hAnsi="仿宋" w:eastAsia="仿宋"/>
          <w:sz w:val="32"/>
          <w:szCs w:val="32"/>
        </w:rPr>
        <w:t>；建设国家级虚拟仿真实验教学项目1项；获批教育部产学研协同育人项目</w:t>
      </w:r>
      <w:r>
        <w:rPr>
          <w:rFonts w:ascii="仿宋" w:hAnsi="仿宋" w:eastAsia="仿宋"/>
          <w:sz w:val="32"/>
          <w:szCs w:val="32"/>
        </w:rPr>
        <w:t>4</w:t>
      </w:r>
      <w:r>
        <w:rPr>
          <w:rFonts w:hint="eastAsia" w:ascii="仿宋" w:hAnsi="仿宋" w:eastAsia="仿宋"/>
          <w:sz w:val="32"/>
          <w:szCs w:val="32"/>
        </w:rPr>
        <w:t>项；</w:t>
      </w:r>
      <w:r>
        <w:rPr>
          <w:rFonts w:ascii="仿宋" w:hAnsi="仿宋" w:eastAsia="仿宋"/>
          <w:sz w:val="32"/>
          <w:szCs w:val="32"/>
        </w:rPr>
        <w:t>建设省级在线开放课程2</w:t>
      </w:r>
      <w:r>
        <w:rPr>
          <w:rFonts w:hint="eastAsia" w:ascii="仿宋" w:hAnsi="仿宋" w:eastAsia="仿宋"/>
          <w:sz w:val="32"/>
          <w:szCs w:val="32"/>
        </w:rPr>
        <w:t>门；</w:t>
      </w:r>
      <w:r>
        <w:rPr>
          <w:rFonts w:ascii="仿宋" w:hAnsi="仿宋" w:eastAsia="仿宋"/>
          <w:sz w:val="32"/>
          <w:szCs w:val="32"/>
        </w:rPr>
        <w:t>获批</w:t>
      </w:r>
      <w:r>
        <w:rPr>
          <w:rFonts w:hint="eastAsia" w:ascii="仿宋" w:hAnsi="仿宋" w:eastAsia="仿宋"/>
          <w:sz w:val="32"/>
          <w:szCs w:val="32"/>
        </w:rPr>
        <w:t>省部级教学名师1人；</w:t>
      </w:r>
      <w:r>
        <w:rPr>
          <w:rFonts w:ascii="仿宋" w:hAnsi="仿宋" w:eastAsia="仿宋"/>
          <w:sz w:val="32"/>
          <w:szCs w:val="32"/>
        </w:rPr>
        <w:t>校级专业负责人项目</w:t>
      </w:r>
      <w:r>
        <w:rPr>
          <w:rFonts w:hint="eastAsia" w:ascii="仿宋" w:hAnsi="仿宋" w:eastAsia="仿宋"/>
          <w:sz w:val="32"/>
          <w:szCs w:val="32"/>
        </w:rPr>
        <w:t>1项，校级教学团队1个，获校级教学成果一等奖2项；获批各类校级项目18项；派出9名教师海内外进修和实践锻炼。学生参加各类竞赛获得省级以上奖励</w:t>
      </w:r>
      <w:r>
        <w:rPr>
          <w:rFonts w:ascii="仿宋" w:hAnsi="仿宋" w:eastAsia="仿宋"/>
          <w:sz w:val="32"/>
          <w:szCs w:val="32"/>
        </w:rPr>
        <w:t>65项，发表论文6篇，发明专利2项，创新创业训练项目70项，“挑战杯”提交</w:t>
      </w:r>
      <w:r>
        <w:rPr>
          <w:rFonts w:hint="eastAsia" w:ascii="仿宋" w:hAnsi="仿宋" w:eastAsia="仿宋"/>
          <w:sz w:val="32"/>
          <w:szCs w:val="32"/>
        </w:rPr>
        <w:t>作品</w:t>
      </w:r>
      <w:r>
        <w:rPr>
          <w:rFonts w:ascii="仿宋" w:hAnsi="仿宋" w:eastAsia="仿宋"/>
          <w:sz w:val="32"/>
          <w:szCs w:val="32"/>
        </w:rPr>
        <w:t>12项，互联网+作品29项，</w:t>
      </w:r>
      <w:r>
        <w:rPr>
          <w:rFonts w:hint="eastAsia" w:ascii="仿宋" w:hAnsi="仿宋" w:eastAsia="仿宋"/>
          <w:sz w:val="32"/>
          <w:szCs w:val="32"/>
        </w:rPr>
        <w:t>新建创新创业基地4处</w:t>
      </w:r>
      <w:r>
        <w:rPr>
          <w:rFonts w:ascii="仿宋" w:hAnsi="仿宋" w:eastAsia="仿宋"/>
          <w:sz w:val="32"/>
          <w:szCs w:val="32"/>
        </w:rPr>
        <w:t>。</w:t>
      </w:r>
      <w:r>
        <w:rPr>
          <w:rFonts w:hint="eastAsia" w:ascii="仿宋" w:hAnsi="仿宋" w:eastAsia="仿宋"/>
          <w:sz w:val="32"/>
          <w:szCs w:val="32"/>
        </w:rPr>
        <w:t>毕业生考研率</w:t>
      </w:r>
      <w:r>
        <w:rPr>
          <w:rFonts w:ascii="仿宋" w:hAnsi="仿宋" w:eastAsia="仿宋"/>
          <w:sz w:val="32"/>
          <w:szCs w:val="32"/>
        </w:rPr>
        <w:t>41.7%</w:t>
      </w:r>
      <w:r>
        <w:rPr>
          <w:rFonts w:hint="eastAsia" w:ascii="仿宋" w:hAnsi="仿宋" w:eastAsia="仿宋"/>
          <w:sz w:val="32"/>
          <w:szCs w:val="32"/>
        </w:rPr>
        <w:t>，学院正式就业率96.3%。全</w:t>
      </w:r>
      <w:r>
        <w:rPr>
          <w:rFonts w:ascii="仿宋" w:hAnsi="仿宋" w:eastAsia="仿宋"/>
          <w:sz w:val="32"/>
          <w:szCs w:val="32"/>
        </w:rPr>
        <w:t>日制在校研究生规模达到217人</w:t>
      </w:r>
      <w:r>
        <w:rPr>
          <w:rFonts w:hint="eastAsia" w:ascii="仿宋" w:hAnsi="仿宋" w:eastAsia="仿宋"/>
          <w:sz w:val="32"/>
          <w:szCs w:val="32"/>
        </w:rPr>
        <w:t>；</w:t>
      </w:r>
      <w:r>
        <w:rPr>
          <w:rFonts w:ascii="仿宋" w:hAnsi="仿宋" w:eastAsia="仿宋"/>
          <w:sz w:val="32"/>
          <w:szCs w:val="32"/>
        </w:rPr>
        <w:t>获</w:t>
      </w:r>
      <w:r>
        <w:rPr>
          <w:rFonts w:hint="eastAsia" w:ascii="仿宋" w:hAnsi="仿宋" w:eastAsia="仿宋"/>
          <w:sz w:val="32"/>
          <w:szCs w:val="32"/>
        </w:rPr>
        <w:t>批</w:t>
      </w:r>
      <w:r>
        <w:rPr>
          <w:rFonts w:ascii="仿宋" w:hAnsi="仿宋" w:eastAsia="仿宋"/>
          <w:sz w:val="32"/>
          <w:szCs w:val="32"/>
        </w:rPr>
        <w:t>校级研究生教育创新计划</w:t>
      </w:r>
      <w:r>
        <w:rPr>
          <w:rFonts w:hint="eastAsia" w:ascii="仿宋" w:hAnsi="仿宋" w:eastAsia="仿宋"/>
          <w:sz w:val="32"/>
          <w:szCs w:val="32"/>
        </w:rPr>
        <w:t>及提升计划</w:t>
      </w:r>
      <w:r>
        <w:rPr>
          <w:rFonts w:ascii="仿宋" w:hAnsi="仿宋" w:eastAsia="仿宋"/>
          <w:sz w:val="32"/>
          <w:szCs w:val="32"/>
        </w:rPr>
        <w:t>立项5项</w:t>
      </w:r>
      <w:r>
        <w:rPr>
          <w:rFonts w:hint="eastAsia" w:ascii="仿宋" w:hAnsi="仿宋" w:eastAsia="仿宋"/>
          <w:sz w:val="32"/>
          <w:szCs w:val="32"/>
        </w:rPr>
        <w:t>，新</w:t>
      </w:r>
      <w:r>
        <w:rPr>
          <w:rFonts w:ascii="仿宋" w:hAnsi="仿宋" w:eastAsia="仿宋"/>
          <w:sz w:val="32"/>
          <w:szCs w:val="32"/>
        </w:rPr>
        <w:t>建</w:t>
      </w:r>
      <w:r>
        <w:rPr>
          <w:rFonts w:hint="eastAsia" w:ascii="仿宋" w:hAnsi="仿宋" w:eastAsia="仿宋"/>
          <w:sz w:val="32"/>
          <w:szCs w:val="32"/>
        </w:rPr>
        <w:t>校</w:t>
      </w:r>
      <w:r>
        <w:rPr>
          <w:rFonts w:ascii="仿宋" w:hAnsi="仿宋" w:eastAsia="仿宋"/>
          <w:sz w:val="32"/>
          <w:szCs w:val="32"/>
        </w:rPr>
        <w:t>级研究生联合培养基地3</w:t>
      </w:r>
      <w:r>
        <w:rPr>
          <w:rFonts w:hint="eastAsia" w:ascii="仿宋" w:hAnsi="仿宋" w:eastAsia="仿宋"/>
          <w:sz w:val="32"/>
          <w:szCs w:val="32"/>
        </w:rPr>
        <w:t>个，获省级优秀研究生学位论文</w:t>
      </w:r>
      <w:r>
        <w:rPr>
          <w:rFonts w:ascii="仿宋" w:hAnsi="仿宋" w:eastAsia="仿宋"/>
          <w:sz w:val="32"/>
          <w:szCs w:val="32"/>
        </w:rPr>
        <w:t>3</w:t>
      </w:r>
      <w:r>
        <w:rPr>
          <w:rFonts w:hint="eastAsia" w:ascii="仿宋" w:hAnsi="仿宋" w:eastAsia="仿宋"/>
          <w:sz w:val="32"/>
          <w:szCs w:val="32"/>
        </w:rPr>
        <w:t>篇，校级优秀研究生学位论文</w:t>
      </w:r>
      <w:r>
        <w:rPr>
          <w:rFonts w:ascii="仿宋" w:hAnsi="仿宋" w:eastAsia="仿宋"/>
          <w:sz w:val="32"/>
          <w:szCs w:val="32"/>
        </w:rPr>
        <w:t>8</w:t>
      </w:r>
      <w:r>
        <w:rPr>
          <w:rFonts w:hint="eastAsia" w:ascii="仿宋" w:hAnsi="仿宋" w:eastAsia="仿宋"/>
          <w:sz w:val="32"/>
          <w:szCs w:val="32"/>
        </w:rPr>
        <w:t>篇；研究生首位发表核心以上论文80篇；研究生</w:t>
      </w:r>
      <w:r>
        <w:rPr>
          <w:rFonts w:ascii="仿宋" w:hAnsi="仿宋" w:eastAsia="仿宋"/>
          <w:sz w:val="32"/>
          <w:szCs w:val="32"/>
        </w:rPr>
        <w:t>国际化交流</w:t>
      </w:r>
      <w:r>
        <w:rPr>
          <w:rFonts w:hint="eastAsia" w:ascii="仿宋" w:hAnsi="仿宋" w:eastAsia="仿宋"/>
          <w:sz w:val="32"/>
          <w:szCs w:val="32"/>
        </w:rPr>
        <w:t>2人</w:t>
      </w:r>
      <w:r>
        <w:rPr>
          <w:rFonts w:ascii="仿宋" w:hAnsi="仿宋" w:eastAsia="仿宋"/>
          <w:sz w:val="32"/>
          <w:szCs w:val="32"/>
        </w:rPr>
        <w:t>。</w:t>
      </w:r>
    </w:p>
    <w:p>
      <w:pPr>
        <w:spacing w:line="560" w:lineRule="atLeast"/>
        <w:ind w:firstLine="640" w:firstLineChars="200"/>
        <w:rPr>
          <w:rFonts w:ascii="仿宋" w:hAnsi="仿宋" w:eastAsia="仿宋"/>
          <w:sz w:val="32"/>
          <w:szCs w:val="32"/>
        </w:rPr>
      </w:pPr>
      <w:r>
        <w:rPr>
          <w:rFonts w:hint="eastAsia" w:ascii="仿宋" w:hAnsi="仿宋" w:eastAsia="仿宋"/>
          <w:sz w:val="32"/>
          <w:szCs w:val="32"/>
        </w:rPr>
        <w:t>（四）师资队伍建设取得</w:t>
      </w:r>
      <w:r>
        <w:rPr>
          <w:rFonts w:ascii="仿宋" w:hAnsi="仿宋" w:eastAsia="仿宋"/>
          <w:sz w:val="32"/>
          <w:szCs w:val="32"/>
        </w:rPr>
        <w:t>新成效</w:t>
      </w:r>
      <w:r>
        <w:rPr>
          <w:rFonts w:hint="eastAsia" w:ascii="仿宋" w:hAnsi="仿宋" w:eastAsia="仿宋"/>
          <w:sz w:val="32"/>
          <w:szCs w:val="32"/>
        </w:rPr>
        <w:t>。获批山东省泰山青年学者1人，柔性引进国家</w:t>
      </w:r>
      <w:r>
        <w:rPr>
          <w:rFonts w:ascii="仿宋" w:hAnsi="仿宋" w:eastAsia="仿宋"/>
          <w:sz w:val="32"/>
          <w:szCs w:val="32"/>
        </w:rPr>
        <w:t>杰青</w:t>
      </w:r>
      <w:r>
        <w:rPr>
          <w:rFonts w:hint="eastAsia" w:ascii="仿宋" w:hAnsi="仿宋" w:eastAsia="仿宋"/>
          <w:sz w:val="32"/>
          <w:szCs w:val="32"/>
        </w:rPr>
        <w:t>1人，共引进A类博士</w:t>
      </w:r>
      <w:r>
        <w:rPr>
          <w:rFonts w:ascii="仿宋" w:hAnsi="仿宋" w:eastAsia="仿宋"/>
          <w:sz w:val="32"/>
          <w:szCs w:val="32"/>
        </w:rPr>
        <w:t>15</w:t>
      </w:r>
      <w:r>
        <w:rPr>
          <w:rFonts w:hint="eastAsia" w:ascii="仿宋" w:hAnsi="仿宋" w:eastAsia="仿宋"/>
          <w:sz w:val="32"/>
          <w:szCs w:val="32"/>
        </w:rPr>
        <w:t>人，新入选学校高层次人才“双百工程”</w:t>
      </w:r>
      <w:r>
        <w:rPr>
          <w:rFonts w:ascii="仿宋" w:hAnsi="仿宋" w:eastAsia="仿宋"/>
          <w:sz w:val="32"/>
          <w:szCs w:val="32"/>
        </w:rPr>
        <w:t>6</w:t>
      </w:r>
      <w:r>
        <w:rPr>
          <w:rFonts w:hint="eastAsia" w:ascii="仿宋" w:hAnsi="仿宋" w:eastAsia="仿宋"/>
          <w:sz w:val="32"/>
          <w:szCs w:val="32"/>
        </w:rPr>
        <w:t>人，派送海外访问学者</w:t>
      </w:r>
      <w:r>
        <w:rPr>
          <w:rFonts w:ascii="仿宋" w:hAnsi="仿宋" w:eastAsia="仿宋"/>
          <w:sz w:val="32"/>
          <w:szCs w:val="32"/>
        </w:rPr>
        <w:t>3</w:t>
      </w:r>
      <w:r>
        <w:rPr>
          <w:rFonts w:hint="eastAsia" w:ascii="仿宋" w:hAnsi="仿宋" w:eastAsia="仿宋"/>
          <w:sz w:val="32"/>
          <w:szCs w:val="32"/>
        </w:rPr>
        <w:t>名。</w:t>
      </w:r>
    </w:p>
    <w:p>
      <w:pPr>
        <w:widowControl/>
        <w:adjustRightInd w:val="0"/>
        <w:snapToGrid w:val="0"/>
        <w:spacing w:line="560" w:lineRule="atLeast"/>
        <w:jc w:val="left"/>
        <w:rPr>
          <w:rFonts w:ascii="仿宋" w:hAnsi="仿宋" w:eastAsia="仿宋" w:cs="宋体"/>
          <w:b/>
          <w:color w:val="333333"/>
          <w:kern w:val="0"/>
          <w:sz w:val="32"/>
          <w:szCs w:val="32"/>
        </w:rPr>
      </w:pPr>
      <w:r>
        <w:rPr>
          <w:rFonts w:hint="eastAsia" w:ascii="仿宋" w:hAnsi="仿宋" w:eastAsia="仿宋" w:cs="宋体"/>
          <w:b/>
          <w:color w:val="333333"/>
          <w:kern w:val="0"/>
          <w:sz w:val="32"/>
          <w:szCs w:val="32"/>
        </w:rPr>
        <w:t>二、廉政建设方面</w:t>
      </w:r>
    </w:p>
    <w:p>
      <w:pPr>
        <w:widowControl/>
        <w:adjustRightInd w:val="0"/>
        <w:snapToGrid w:val="0"/>
        <w:spacing w:line="560" w:lineRule="atLeast"/>
        <w:ind w:firstLine="640" w:firstLineChars="200"/>
        <w:jc w:val="left"/>
        <w:rPr>
          <w:rFonts w:ascii="仿宋" w:hAnsi="仿宋" w:eastAsia="仿宋" w:cs="宋体"/>
          <w:color w:val="333333"/>
          <w:kern w:val="0"/>
          <w:sz w:val="32"/>
          <w:szCs w:val="32"/>
        </w:rPr>
      </w:pPr>
      <w:r>
        <w:rPr>
          <w:rFonts w:hint="eastAsia" w:ascii="仿宋" w:hAnsi="仿宋" w:eastAsia="仿宋" w:cs="宋体"/>
          <w:color w:val="333333"/>
          <w:kern w:val="0"/>
          <w:sz w:val="32"/>
          <w:szCs w:val="32"/>
        </w:rPr>
        <w:t>认真执行“廉洁从政若干准则”“中央八项规定”和</w:t>
      </w:r>
      <w:r>
        <w:rPr>
          <w:rFonts w:hint="eastAsia" w:ascii="仿宋" w:hAnsi="仿宋" w:eastAsia="仿宋" w:cs="宋体"/>
          <w:color w:val="000000"/>
          <w:kern w:val="0"/>
          <w:sz w:val="32"/>
          <w:szCs w:val="32"/>
        </w:rPr>
        <w:t>院务公开规定，从严</w:t>
      </w:r>
      <w:r>
        <w:rPr>
          <w:rFonts w:ascii="仿宋" w:hAnsi="仿宋" w:eastAsia="仿宋" w:cs="宋体"/>
          <w:color w:val="000000"/>
          <w:kern w:val="0"/>
          <w:sz w:val="32"/>
          <w:szCs w:val="32"/>
        </w:rPr>
        <w:t>要求自己，</w:t>
      </w:r>
      <w:r>
        <w:rPr>
          <w:rFonts w:hint="eastAsia" w:ascii="仿宋" w:hAnsi="仿宋" w:eastAsia="仿宋" w:cs="宋体"/>
          <w:color w:val="333333"/>
          <w:kern w:val="0"/>
          <w:sz w:val="32"/>
          <w:szCs w:val="32"/>
        </w:rPr>
        <w:t>没有违规行为。</w:t>
      </w:r>
    </w:p>
    <w:p>
      <w:pPr>
        <w:spacing w:line="560" w:lineRule="atLeast"/>
        <w:rPr>
          <w:rFonts w:ascii="仿宋" w:hAnsi="仿宋" w:eastAsia="仿宋"/>
          <w:b/>
          <w:sz w:val="32"/>
          <w:szCs w:val="32"/>
        </w:rPr>
      </w:pPr>
      <w:r>
        <w:rPr>
          <w:rFonts w:hint="eastAsia" w:ascii="仿宋" w:hAnsi="仿宋" w:eastAsia="仿宋"/>
          <w:b/>
          <w:sz w:val="32"/>
          <w:szCs w:val="32"/>
        </w:rPr>
        <w:t>三、个人教学工作和学术研究</w:t>
      </w:r>
    </w:p>
    <w:p>
      <w:pPr>
        <w:spacing w:line="560" w:lineRule="atLeast"/>
        <w:ind w:firstLine="640" w:firstLineChars="200"/>
        <w:rPr>
          <w:rFonts w:ascii="仿宋" w:hAnsi="仿宋" w:eastAsia="仿宋" w:cs="宋体"/>
          <w:color w:val="333333"/>
          <w:kern w:val="0"/>
          <w:sz w:val="32"/>
          <w:szCs w:val="32"/>
        </w:rPr>
      </w:pPr>
      <w:r>
        <w:rPr>
          <w:rFonts w:hint="eastAsia" w:ascii="仿宋" w:hAnsi="仿宋" w:eastAsia="仿宋"/>
          <w:bCs/>
          <w:color w:val="000000"/>
          <w:sz w:val="32"/>
          <w:szCs w:val="32"/>
        </w:rPr>
        <w:t>认真履行教师职责，</w:t>
      </w:r>
      <w:r>
        <w:rPr>
          <w:rFonts w:ascii="仿宋" w:hAnsi="仿宋" w:eastAsia="仿宋"/>
          <w:bCs/>
          <w:color w:val="000000"/>
          <w:sz w:val="32"/>
          <w:szCs w:val="32"/>
        </w:rPr>
        <w:t>获批</w:t>
      </w:r>
      <w:r>
        <w:rPr>
          <w:rFonts w:hint="eastAsia" w:ascii="仿宋" w:hAnsi="仿宋" w:eastAsia="仿宋"/>
          <w:bCs/>
          <w:color w:val="000000"/>
          <w:sz w:val="32"/>
          <w:szCs w:val="32"/>
        </w:rPr>
        <w:t>国家自然科学</w:t>
      </w:r>
      <w:r>
        <w:rPr>
          <w:rFonts w:ascii="仿宋" w:hAnsi="仿宋" w:eastAsia="仿宋"/>
          <w:bCs/>
          <w:color w:val="000000"/>
          <w:sz w:val="32"/>
          <w:szCs w:val="32"/>
        </w:rPr>
        <w:t>基金面上项目</w:t>
      </w:r>
      <w:r>
        <w:rPr>
          <w:rFonts w:hint="eastAsia" w:ascii="仿宋" w:hAnsi="仿宋" w:eastAsia="仿宋"/>
          <w:sz w:val="32"/>
          <w:szCs w:val="32"/>
        </w:rPr>
        <w:t>1项</w:t>
      </w:r>
      <w:r>
        <w:rPr>
          <w:rFonts w:hint="eastAsia" w:ascii="仿宋" w:hAnsi="仿宋" w:eastAsia="仿宋"/>
          <w:bCs/>
          <w:color w:val="000000"/>
          <w:sz w:val="32"/>
          <w:szCs w:val="32"/>
        </w:rPr>
        <w:t>。</w:t>
      </w:r>
    </w:p>
    <w:p>
      <w:pPr>
        <w:widowControl/>
        <w:adjustRightInd w:val="0"/>
        <w:snapToGrid w:val="0"/>
        <w:spacing w:line="560" w:lineRule="atLeast"/>
        <w:jc w:val="left"/>
        <w:rPr>
          <w:rFonts w:ascii="仿宋" w:hAnsi="仿宋" w:eastAsia="仿宋" w:cs="宋体"/>
          <w:b/>
          <w:color w:val="333333"/>
          <w:kern w:val="0"/>
          <w:sz w:val="32"/>
          <w:szCs w:val="32"/>
        </w:rPr>
      </w:pPr>
      <w:r>
        <w:rPr>
          <w:rFonts w:hint="eastAsia" w:ascii="仿宋" w:hAnsi="仿宋" w:eastAsia="仿宋" w:cs="宋体"/>
          <w:b/>
          <w:color w:val="333333"/>
          <w:kern w:val="0"/>
          <w:sz w:val="32"/>
          <w:szCs w:val="32"/>
        </w:rPr>
        <w:t>四、存在问题和努力方向</w:t>
      </w:r>
    </w:p>
    <w:p>
      <w:pPr>
        <w:widowControl/>
        <w:adjustRightInd w:val="0"/>
        <w:snapToGrid w:val="0"/>
        <w:spacing w:line="560" w:lineRule="atLeast"/>
        <w:ind w:firstLine="640" w:firstLineChars="200"/>
        <w:jc w:val="left"/>
        <w:rPr>
          <w:rFonts w:ascii="仿宋" w:hAnsi="仿宋" w:eastAsia="仿宋"/>
          <w:sz w:val="32"/>
          <w:szCs w:val="32"/>
        </w:rPr>
      </w:pPr>
      <w:r>
        <w:rPr>
          <w:rFonts w:hint="eastAsia" w:ascii="仿宋" w:hAnsi="仿宋" w:eastAsia="仿宋" w:cs="宋体"/>
          <w:color w:val="333333"/>
          <w:kern w:val="0"/>
          <w:sz w:val="32"/>
          <w:szCs w:val="32"/>
        </w:rPr>
        <w:t>政治理论水平需要提升，</w:t>
      </w:r>
      <w:r>
        <w:rPr>
          <w:rFonts w:ascii="仿宋" w:hAnsi="仿宋" w:eastAsia="仿宋" w:cs="宋体"/>
          <w:color w:val="333333"/>
          <w:kern w:val="0"/>
          <w:sz w:val="32"/>
          <w:szCs w:val="32"/>
        </w:rPr>
        <w:t>管理</w:t>
      </w:r>
      <w:r>
        <w:rPr>
          <w:rFonts w:hint="eastAsia" w:ascii="仿宋" w:hAnsi="仿宋" w:eastAsia="仿宋" w:cs="宋体"/>
          <w:color w:val="333333"/>
          <w:kern w:val="0"/>
          <w:sz w:val="32"/>
          <w:szCs w:val="32"/>
        </w:rPr>
        <w:t>和</w:t>
      </w:r>
      <w:r>
        <w:rPr>
          <w:rFonts w:ascii="仿宋" w:hAnsi="仿宋" w:eastAsia="仿宋" w:cs="宋体"/>
          <w:color w:val="333333"/>
          <w:kern w:val="0"/>
          <w:sz w:val="32"/>
          <w:szCs w:val="32"/>
        </w:rPr>
        <w:t>组织协调</w:t>
      </w:r>
      <w:r>
        <w:rPr>
          <w:rFonts w:hint="eastAsia" w:ascii="仿宋" w:hAnsi="仿宋" w:eastAsia="仿宋" w:cs="宋体"/>
          <w:color w:val="333333"/>
          <w:kern w:val="0"/>
          <w:sz w:val="32"/>
          <w:szCs w:val="32"/>
        </w:rPr>
        <w:t>能力</w:t>
      </w:r>
      <w:r>
        <w:rPr>
          <w:rFonts w:ascii="仿宋" w:hAnsi="仿宋" w:eastAsia="仿宋" w:cs="宋体"/>
          <w:color w:val="333333"/>
          <w:kern w:val="0"/>
          <w:sz w:val="32"/>
          <w:szCs w:val="32"/>
        </w:rPr>
        <w:t>需要</w:t>
      </w:r>
      <w:r>
        <w:rPr>
          <w:rFonts w:hint="eastAsia" w:ascii="仿宋" w:hAnsi="仿宋" w:eastAsia="仿宋" w:cs="宋体"/>
          <w:color w:val="333333"/>
          <w:kern w:val="0"/>
          <w:sz w:val="32"/>
          <w:szCs w:val="32"/>
        </w:rPr>
        <w:t>提高。要进一步加强理论学习，努力做好教学科研和学院</w:t>
      </w:r>
      <w:r>
        <w:rPr>
          <w:rFonts w:ascii="仿宋" w:hAnsi="仿宋" w:eastAsia="仿宋" w:cs="宋体"/>
          <w:color w:val="333333"/>
          <w:kern w:val="0"/>
          <w:sz w:val="32"/>
          <w:szCs w:val="32"/>
        </w:rPr>
        <w:t>管理</w:t>
      </w:r>
      <w:r>
        <w:rPr>
          <w:rFonts w:hint="eastAsia" w:ascii="仿宋" w:hAnsi="仿宋" w:eastAsia="仿宋" w:cs="宋体"/>
          <w:color w:val="333333"/>
          <w:kern w:val="0"/>
          <w:sz w:val="32"/>
          <w:szCs w:val="32"/>
        </w:rPr>
        <w:t>工作。</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FB"/>
    <w:rsid w:val="0000071E"/>
    <w:rsid w:val="00001241"/>
    <w:rsid w:val="00005240"/>
    <w:rsid w:val="0003218B"/>
    <w:rsid w:val="00032C0C"/>
    <w:rsid w:val="00045FE5"/>
    <w:rsid w:val="00067B61"/>
    <w:rsid w:val="000746DB"/>
    <w:rsid w:val="00084FBB"/>
    <w:rsid w:val="000956D7"/>
    <w:rsid w:val="000B3539"/>
    <w:rsid w:val="000D273B"/>
    <w:rsid w:val="000D4AC4"/>
    <w:rsid w:val="000E5111"/>
    <w:rsid w:val="000F04FB"/>
    <w:rsid w:val="00104795"/>
    <w:rsid w:val="0011171B"/>
    <w:rsid w:val="0012475B"/>
    <w:rsid w:val="001356F6"/>
    <w:rsid w:val="0014556A"/>
    <w:rsid w:val="00151C0E"/>
    <w:rsid w:val="0017119F"/>
    <w:rsid w:val="00171F83"/>
    <w:rsid w:val="00180136"/>
    <w:rsid w:val="001B231F"/>
    <w:rsid w:val="001D7ECD"/>
    <w:rsid w:val="001F0868"/>
    <w:rsid w:val="001F74D3"/>
    <w:rsid w:val="001F7B25"/>
    <w:rsid w:val="002037EE"/>
    <w:rsid w:val="00214793"/>
    <w:rsid w:val="00216B66"/>
    <w:rsid w:val="00222794"/>
    <w:rsid w:val="00224E15"/>
    <w:rsid w:val="00225030"/>
    <w:rsid w:val="00244AC9"/>
    <w:rsid w:val="00250BCA"/>
    <w:rsid w:val="00265BB8"/>
    <w:rsid w:val="002947EA"/>
    <w:rsid w:val="00295F3C"/>
    <w:rsid w:val="002A389F"/>
    <w:rsid w:val="002A3D5C"/>
    <w:rsid w:val="002A491A"/>
    <w:rsid w:val="002A6B4E"/>
    <w:rsid w:val="002D544C"/>
    <w:rsid w:val="002E1A3B"/>
    <w:rsid w:val="003019EA"/>
    <w:rsid w:val="00312FEE"/>
    <w:rsid w:val="00334219"/>
    <w:rsid w:val="003347BC"/>
    <w:rsid w:val="00346724"/>
    <w:rsid w:val="00363317"/>
    <w:rsid w:val="003670ED"/>
    <w:rsid w:val="003A6446"/>
    <w:rsid w:val="003B2499"/>
    <w:rsid w:val="003F4505"/>
    <w:rsid w:val="003F4C8D"/>
    <w:rsid w:val="00413B8D"/>
    <w:rsid w:val="00416CCA"/>
    <w:rsid w:val="00420126"/>
    <w:rsid w:val="004218BE"/>
    <w:rsid w:val="004578B8"/>
    <w:rsid w:val="00460742"/>
    <w:rsid w:val="00475D14"/>
    <w:rsid w:val="00482420"/>
    <w:rsid w:val="004A262E"/>
    <w:rsid w:val="004A476C"/>
    <w:rsid w:val="004B0972"/>
    <w:rsid w:val="004B5BF9"/>
    <w:rsid w:val="004E46DF"/>
    <w:rsid w:val="00515BB9"/>
    <w:rsid w:val="00515FE5"/>
    <w:rsid w:val="0052176A"/>
    <w:rsid w:val="00545B7C"/>
    <w:rsid w:val="00547F34"/>
    <w:rsid w:val="00550379"/>
    <w:rsid w:val="00553A49"/>
    <w:rsid w:val="00584FDC"/>
    <w:rsid w:val="00591AA3"/>
    <w:rsid w:val="00597C64"/>
    <w:rsid w:val="005B1B76"/>
    <w:rsid w:val="005B2FC0"/>
    <w:rsid w:val="005B4C1D"/>
    <w:rsid w:val="005D2407"/>
    <w:rsid w:val="005D4122"/>
    <w:rsid w:val="005D68FE"/>
    <w:rsid w:val="005D7D2F"/>
    <w:rsid w:val="005E506D"/>
    <w:rsid w:val="005F47E0"/>
    <w:rsid w:val="005F58A1"/>
    <w:rsid w:val="0061092E"/>
    <w:rsid w:val="00624897"/>
    <w:rsid w:val="00634AFE"/>
    <w:rsid w:val="0063576F"/>
    <w:rsid w:val="00636C15"/>
    <w:rsid w:val="006418DC"/>
    <w:rsid w:val="00644163"/>
    <w:rsid w:val="006610A5"/>
    <w:rsid w:val="00667FA9"/>
    <w:rsid w:val="006934A9"/>
    <w:rsid w:val="006A1B60"/>
    <w:rsid w:val="006A1E91"/>
    <w:rsid w:val="006A399E"/>
    <w:rsid w:val="006B08F3"/>
    <w:rsid w:val="006B4892"/>
    <w:rsid w:val="006D2F94"/>
    <w:rsid w:val="0073404F"/>
    <w:rsid w:val="007422A8"/>
    <w:rsid w:val="007633A7"/>
    <w:rsid w:val="0077411F"/>
    <w:rsid w:val="00777857"/>
    <w:rsid w:val="00786F26"/>
    <w:rsid w:val="007920EE"/>
    <w:rsid w:val="00795CF9"/>
    <w:rsid w:val="007D1386"/>
    <w:rsid w:val="007E4B72"/>
    <w:rsid w:val="007F6FD8"/>
    <w:rsid w:val="00830A7E"/>
    <w:rsid w:val="00842D55"/>
    <w:rsid w:val="00860B83"/>
    <w:rsid w:val="00863DE8"/>
    <w:rsid w:val="00865DB9"/>
    <w:rsid w:val="00890E05"/>
    <w:rsid w:val="008B23C1"/>
    <w:rsid w:val="008C32C6"/>
    <w:rsid w:val="008C6FBD"/>
    <w:rsid w:val="008D43CC"/>
    <w:rsid w:val="008E7366"/>
    <w:rsid w:val="008F1549"/>
    <w:rsid w:val="008F37A8"/>
    <w:rsid w:val="00903763"/>
    <w:rsid w:val="00903F49"/>
    <w:rsid w:val="0090682B"/>
    <w:rsid w:val="00922D72"/>
    <w:rsid w:val="00922E6B"/>
    <w:rsid w:val="00924F95"/>
    <w:rsid w:val="00925EC2"/>
    <w:rsid w:val="009278A3"/>
    <w:rsid w:val="00930017"/>
    <w:rsid w:val="00934F7E"/>
    <w:rsid w:val="00961A17"/>
    <w:rsid w:val="00965516"/>
    <w:rsid w:val="00982B74"/>
    <w:rsid w:val="009949DF"/>
    <w:rsid w:val="009968AC"/>
    <w:rsid w:val="009B1141"/>
    <w:rsid w:val="009C2EAA"/>
    <w:rsid w:val="009C3843"/>
    <w:rsid w:val="009E383E"/>
    <w:rsid w:val="009F6982"/>
    <w:rsid w:val="00A00856"/>
    <w:rsid w:val="00A011CC"/>
    <w:rsid w:val="00A073EF"/>
    <w:rsid w:val="00A14AB4"/>
    <w:rsid w:val="00A40C04"/>
    <w:rsid w:val="00A43319"/>
    <w:rsid w:val="00A56F72"/>
    <w:rsid w:val="00A6600A"/>
    <w:rsid w:val="00A67300"/>
    <w:rsid w:val="00A70A27"/>
    <w:rsid w:val="00A803A5"/>
    <w:rsid w:val="00A920AF"/>
    <w:rsid w:val="00A9632E"/>
    <w:rsid w:val="00AA35D4"/>
    <w:rsid w:val="00AD41B5"/>
    <w:rsid w:val="00AD60D1"/>
    <w:rsid w:val="00AF4DF2"/>
    <w:rsid w:val="00B1088B"/>
    <w:rsid w:val="00B13552"/>
    <w:rsid w:val="00B260A7"/>
    <w:rsid w:val="00B33AB9"/>
    <w:rsid w:val="00B4622D"/>
    <w:rsid w:val="00B47666"/>
    <w:rsid w:val="00B5434E"/>
    <w:rsid w:val="00B60530"/>
    <w:rsid w:val="00B664D0"/>
    <w:rsid w:val="00B7273E"/>
    <w:rsid w:val="00B73C7F"/>
    <w:rsid w:val="00B810B1"/>
    <w:rsid w:val="00BA0614"/>
    <w:rsid w:val="00BB6EDF"/>
    <w:rsid w:val="00BC027F"/>
    <w:rsid w:val="00BC149D"/>
    <w:rsid w:val="00BD4631"/>
    <w:rsid w:val="00BD5308"/>
    <w:rsid w:val="00C13009"/>
    <w:rsid w:val="00C2393E"/>
    <w:rsid w:val="00C44EDD"/>
    <w:rsid w:val="00C5334B"/>
    <w:rsid w:val="00C81020"/>
    <w:rsid w:val="00C8194D"/>
    <w:rsid w:val="00C850F4"/>
    <w:rsid w:val="00C97070"/>
    <w:rsid w:val="00CC3B52"/>
    <w:rsid w:val="00CD7E7B"/>
    <w:rsid w:val="00D23A00"/>
    <w:rsid w:val="00D32C4A"/>
    <w:rsid w:val="00D40784"/>
    <w:rsid w:val="00D56C98"/>
    <w:rsid w:val="00DB1D14"/>
    <w:rsid w:val="00DF39EA"/>
    <w:rsid w:val="00DF6B8C"/>
    <w:rsid w:val="00E16555"/>
    <w:rsid w:val="00E34610"/>
    <w:rsid w:val="00E36AE1"/>
    <w:rsid w:val="00E43AD9"/>
    <w:rsid w:val="00E6287A"/>
    <w:rsid w:val="00E62E8B"/>
    <w:rsid w:val="00E710FE"/>
    <w:rsid w:val="00E84BD0"/>
    <w:rsid w:val="00E9027F"/>
    <w:rsid w:val="00EB150F"/>
    <w:rsid w:val="00EC3087"/>
    <w:rsid w:val="00EF2D14"/>
    <w:rsid w:val="00EF5AC0"/>
    <w:rsid w:val="00F05BC0"/>
    <w:rsid w:val="00F11C24"/>
    <w:rsid w:val="00F17A8D"/>
    <w:rsid w:val="00F341F4"/>
    <w:rsid w:val="00F443C0"/>
    <w:rsid w:val="00F446E0"/>
    <w:rsid w:val="00F8786B"/>
    <w:rsid w:val="00F94117"/>
    <w:rsid w:val="00F96501"/>
    <w:rsid w:val="00FA5AD3"/>
    <w:rsid w:val="00FB53C9"/>
    <w:rsid w:val="00FC7F60"/>
    <w:rsid w:val="00FF2353"/>
    <w:rsid w:val="00FF6D40"/>
    <w:rsid w:val="7F3A28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1"/>
    <w:qFormat/>
    <w:locked/>
    <w:uiPriority w:val="99"/>
    <w:pPr>
      <w:widowControl/>
      <w:spacing w:before="100" w:beforeAutospacing="1" w:after="100" w:afterAutospacing="1"/>
      <w:jc w:val="left"/>
      <w:outlineLvl w:val="2"/>
    </w:pPr>
    <w:rPr>
      <w:rFonts w:ascii="宋体" w:hAnsi="宋体" w:cs="宋体"/>
      <w:b/>
      <w:bCs/>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3"/>
    <w:semiHidden/>
    <w:qFormat/>
    <w:uiPriority w:val="99"/>
    <w:pPr>
      <w:tabs>
        <w:tab w:val="center" w:pos="4153"/>
        <w:tab w:val="right" w:pos="8306"/>
      </w:tabs>
      <w:snapToGrid w:val="0"/>
      <w:jc w:val="left"/>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4"/>
    <w:semiHidden/>
    <w:uiPriority w:val="99"/>
    <w:pPr>
      <w:spacing w:line="540" w:lineRule="exact"/>
      <w:ind w:firstLine="560" w:firstLineChars="200"/>
    </w:pPr>
    <w:rPr>
      <w:rFonts w:ascii="Times New Roman" w:hAnsi="Times New Roman" w:eastAsia="仿宋_GB2312"/>
      <w:sz w:val="28"/>
      <w:szCs w:val="24"/>
    </w:rPr>
  </w:style>
  <w:style w:type="paragraph" w:styleId="6">
    <w:name w:val="Normal (Web)"/>
    <w:basedOn w:val="1"/>
    <w:semiHidden/>
    <w:qFormat/>
    <w:uiPriority w:val="99"/>
    <w:pPr>
      <w:widowControl/>
      <w:spacing w:before="100" w:beforeAutospacing="1" w:after="100" w:afterAutospacing="1"/>
      <w:jc w:val="left"/>
    </w:pPr>
    <w:rPr>
      <w:rFonts w:ascii="宋体" w:hAnsi="宋体" w:cs="宋体"/>
      <w:sz w:val="24"/>
      <w:szCs w:val="24"/>
    </w:rPr>
  </w:style>
  <w:style w:type="character" w:styleId="9">
    <w:name w:val="Emphasis"/>
    <w:qFormat/>
    <w:locked/>
    <w:uiPriority w:val="99"/>
    <w:rPr>
      <w:rFonts w:cs="Times New Roman"/>
      <w:i/>
      <w:iCs/>
    </w:rPr>
  </w:style>
  <w:style w:type="character" w:styleId="10">
    <w:name w:val="Hyperlink"/>
    <w:semiHidden/>
    <w:qFormat/>
    <w:uiPriority w:val="99"/>
    <w:rPr>
      <w:rFonts w:cs="Times New Roman"/>
      <w:color w:val="0000FF"/>
      <w:u w:val="single"/>
    </w:rPr>
  </w:style>
  <w:style w:type="character" w:customStyle="1" w:styleId="11">
    <w:name w:val="标题 3 Char"/>
    <w:link w:val="2"/>
    <w:qFormat/>
    <w:locked/>
    <w:uiPriority w:val="99"/>
    <w:rPr>
      <w:rFonts w:ascii="宋体" w:eastAsia="宋体" w:cs="宋体"/>
      <w:b/>
      <w:bCs/>
      <w:kern w:val="0"/>
      <w:sz w:val="27"/>
      <w:szCs w:val="27"/>
    </w:rPr>
  </w:style>
  <w:style w:type="character" w:customStyle="1" w:styleId="12">
    <w:name w:val="页眉 Char"/>
    <w:link w:val="4"/>
    <w:semiHidden/>
    <w:qFormat/>
    <w:locked/>
    <w:uiPriority w:val="99"/>
    <w:rPr>
      <w:rFonts w:cs="Times New Roman"/>
      <w:sz w:val="18"/>
      <w:szCs w:val="18"/>
    </w:rPr>
  </w:style>
  <w:style w:type="character" w:customStyle="1" w:styleId="13">
    <w:name w:val="页脚 Char"/>
    <w:link w:val="3"/>
    <w:semiHidden/>
    <w:qFormat/>
    <w:locked/>
    <w:uiPriority w:val="99"/>
    <w:rPr>
      <w:rFonts w:cs="Times New Roman"/>
      <w:sz w:val="18"/>
      <w:szCs w:val="18"/>
    </w:rPr>
  </w:style>
  <w:style w:type="character" w:customStyle="1" w:styleId="14">
    <w:name w:val="正文文本缩进 3 Char"/>
    <w:link w:val="5"/>
    <w:semiHidden/>
    <w:qFormat/>
    <w:locked/>
    <w:uiPriority w:val="99"/>
    <w:rPr>
      <w:rFonts w:ascii="Times New Roman" w:hAnsi="Times New Roman" w:eastAsia="仿宋_GB2312" w:cs="Times New Roman"/>
      <w:sz w:val="24"/>
      <w:szCs w:val="24"/>
    </w:rPr>
  </w:style>
  <w:style w:type="paragraph" w:styleId="15">
    <w:name w:val="List Paragraph"/>
    <w:basedOn w:val="1"/>
    <w:qFormat/>
    <w:uiPriority w:val="99"/>
    <w:pPr>
      <w:widowControl/>
      <w:ind w:firstLine="420" w:firstLineChars="200"/>
      <w:jc w:val="left"/>
    </w:pPr>
    <w:rPr>
      <w:rFonts w:ascii="宋体" w:hAnsi="宋体" w:cs="宋体"/>
      <w:sz w:val="24"/>
      <w:szCs w:val="24"/>
    </w:rPr>
  </w:style>
  <w:style w:type="paragraph" w:customStyle="1" w:styleId="16">
    <w:name w:val="无间隔1"/>
    <w:basedOn w:val="1"/>
    <w:link w:val="17"/>
    <w:qFormat/>
    <w:uiPriority w:val="1"/>
    <w:pPr>
      <w:widowControl/>
      <w:jc w:val="left"/>
    </w:pPr>
    <w:rPr>
      <w:rFonts w:asciiTheme="minorHAnsi" w:hAnsiTheme="minorHAnsi" w:eastAsiaTheme="minorEastAsia" w:cstheme="minorBidi"/>
      <w:kern w:val="0"/>
      <w:sz w:val="22"/>
      <w:lang w:eastAsia="en-US" w:bidi="en-US"/>
    </w:rPr>
  </w:style>
  <w:style w:type="character" w:customStyle="1" w:styleId="17">
    <w:name w:val="无间隔 Char"/>
    <w:basedOn w:val="8"/>
    <w:link w:val="16"/>
    <w:qFormat/>
    <w:uiPriority w:val="1"/>
    <w:rPr>
      <w:rFonts w:asciiTheme="minorHAnsi" w:hAnsiTheme="minorHAnsi" w:eastAsiaTheme="minorEastAsia" w:cstheme="minorBidi"/>
      <w:sz w:val="22"/>
      <w:szCs w:val="22"/>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52006-92DC-485B-BF7C-81664B10D20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520</Words>
  <Characters>541</Characters>
  <Lines>23</Lines>
  <Paragraphs>13</Paragraphs>
  <TotalTime>54</TotalTime>
  <ScaleCrop>false</ScaleCrop>
  <LinksUpToDate>false</LinksUpToDate>
  <CharactersWithSpaces>1048</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2019-12-20T07:36:00Z</dcterms:created>
  <dc:creator>Lenovo-PC</dc:creator>
  <cp:lastModifiedBy>差不多就挺好</cp:lastModifiedBy>
  <dcterms:modified xsi:type="dcterms:W3CDTF">2019-12-22T05:37:48Z</dcterms:modified>
  <dc:title>禚淑萍2014年述职报告</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