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F" w:rsidRPr="00B079B5" w:rsidRDefault="001D4D3F" w:rsidP="001D4D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B079B5">
        <w:rPr>
          <w:rFonts w:ascii="宋体" w:eastAsia="宋体" w:cs="宋体" w:hint="eastAsia"/>
          <w:kern w:val="0"/>
          <w:sz w:val="28"/>
          <w:szCs w:val="28"/>
        </w:rPr>
        <w:t>附件1：</w:t>
      </w:r>
    </w:p>
    <w:p w:rsidR="00B079B5" w:rsidRPr="00EC1794" w:rsidRDefault="00B079B5" w:rsidP="001D4D3F">
      <w:pPr>
        <w:widowControl/>
        <w:jc w:val="center"/>
        <w:rPr>
          <w:rStyle w:val="1Char"/>
          <w:rFonts w:asciiTheme="minorEastAsia" w:eastAsiaTheme="minorEastAsia" w:hAnsiTheme="minorEastAsia"/>
        </w:rPr>
      </w:pPr>
      <w:r w:rsidRPr="00EC1794">
        <w:rPr>
          <w:rStyle w:val="1Char"/>
          <w:rFonts w:asciiTheme="minorEastAsia" w:eastAsiaTheme="minorEastAsia" w:hAnsiTheme="minorEastAsia" w:hint="eastAsia"/>
        </w:rPr>
        <w:t>山东理工</w:t>
      </w:r>
      <w:r w:rsidRPr="00EC1794">
        <w:rPr>
          <w:rStyle w:val="1Char"/>
          <w:rFonts w:asciiTheme="minorEastAsia" w:eastAsiaTheme="minorEastAsia" w:hAnsiTheme="minorEastAsia"/>
        </w:rPr>
        <w:t>大学</w:t>
      </w:r>
      <w:r w:rsidRPr="00EC1794">
        <w:rPr>
          <w:rStyle w:val="1Char"/>
          <w:rFonts w:asciiTheme="minorEastAsia" w:eastAsiaTheme="minorEastAsia" w:hAnsiTheme="minorEastAsia" w:hint="eastAsia"/>
        </w:rPr>
        <w:t>第一届</w:t>
      </w:r>
      <w:r w:rsidRPr="00EC1794">
        <w:rPr>
          <w:rStyle w:val="1Char"/>
          <w:rFonts w:asciiTheme="minorEastAsia" w:eastAsiaTheme="minorEastAsia" w:hAnsiTheme="minorEastAsia"/>
        </w:rPr>
        <w:t>BIM</w:t>
      </w:r>
      <w:r w:rsidRPr="00EC1794">
        <w:rPr>
          <w:rStyle w:val="1Char"/>
          <w:rFonts w:asciiTheme="minorEastAsia" w:eastAsiaTheme="minorEastAsia" w:hAnsiTheme="minorEastAsia" w:hint="eastAsia"/>
        </w:rPr>
        <w:t>应用比赛</w:t>
      </w:r>
    </w:p>
    <w:p w:rsidR="001D4D3F" w:rsidRPr="001D4D3F" w:rsidRDefault="001D4D3F" w:rsidP="001D4D3F">
      <w:pPr>
        <w:widowControl/>
        <w:jc w:val="center"/>
        <w:rPr>
          <w:rFonts w:ascii="Times New Roman" w:eastAsia="宋体" w:hAnsi="Times New Roman" w:cs="Times New Roman"/>
          <w:b/>
          <w:kern w:val="44"/>
          <w:sz w:val="44"/>
          <w:szCs w:val="20"/>
        </w:rPr>
      </w:pPr>
      <w:r w:rsidRPr="00EC1794">
        <w:rPr>
          <w:rFonts w:asciiTheme="minorEastAsia" w:hAnsiTheme="minorEastAsia" w:cs="宋体" w:hint="eastAsia"/>
          <w:b/>
          <w:color w:val="000000"/>
          <w:sz w:val="44"/>
          <w:szCs w:val="44"/>
        </w:rPr>
        <w:t>——</w:t>
      </w:r>
      <w:r w:rsidRPr="00EC1794">
        <w:rPr>
          <w:rFonts w:asciiTheme="minorEastAsia" w:hAnsiTheme="minorEastAsia" w:cs="宋体"/>
          <w:b/>
          <w:color w:val="000000"/>
          <w:sz w:val="44"/>
          <w:szCs w:val="44"/>
        </w:rPr>
        <w:t>BIM</w:t>
      </w:r>
      <w:r w:rsidRPr="00EC1794">
        <w:rPr>
          <w:rFonts w:asciiTheme="minorEastAsia" w:hAnsiTheme="minorEastAsia" w:cs="宋体" w:hint="eastAsia"/>
          <w:b/>
          <w:color w:val="000000"/>
          <w:sz w:val="44"/>
          <w:szCs w:val="44"/>
        </w:rPr>
        <w:t>算量大赛赛</w:t>
      </w:r>
      <w:r w:rsidRPr="001D4D3F">
        <w:rPr>
          <w:rFonts w:ascii="宋体" w:hAnsi="宋体" w:cs="宋体" w:hint="eastAsia"/>
          <w:b/>
          <w:color w:val="000000"/>
          <w:sz w:val="44"/>
          <w:szCs w:val="44"/>
        </w:rPr>
        <w:t>制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1D4D3F" w:rsidRPr="00F27796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27796">
        <w:rPr>
          <w:rFonts w:ascii="宋体" w:eastAsia="宋体" w:hAnsi="宋体" w:cs="宋体" w:hint="eastAsia"/>
          <w:b/>
          <w:kern w:val="0"/>
          <w:sz w:val="28"/>
          <w:szCs w:val="28"/>
        </w:rPr>
        <w:t>一、竞赛内容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/>
          <w:kern w:val="0"/>
          <w:sz w:val="28"/>
          <w:szCs w:val="28"/>
        </w:rPr>
        <w:t>1</w:t>
      </w:r>
      <w:r w:rsidR="00B079B5">
        <w:rPr>
          <w:rFonts w:ascii="宋体" w:eastAsia="宋体" w:hAnsi="宋体" w:cs="宋体"/>
          <w:kern w:val="0"/>
          <w:sz w:val="28"/>
          <w:szCs w:val="28"/>
        </w:rPr>
        <w:t>.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《房屋建筑与装饰工程工程量清单计算规范》</w:t>
      </w:r>
      <w:r>
        <w:rPr>
          <w:rFonts w:ascii="宋体" w:eastAsia="宋体" w:hAnsi="宋体" w:cs="宋体"/>
          <w:kern w:val="0"/>
          <w:sz w:val="28"/>
          <w:szCs w:val="28"/>
        </w:rPr>
        <w:t>(GB50854-</w:t>
      </w:r>
      <w:r w:rsidRPr="001D4D3F">
        <w:rPr>
          <w:rFonts w:ascii="宋体" w:eastAsia="宋体" w:hAnsi="宋体" w:cs="宋体"/>
          <w:kern w:val="0"/>
          <w:sz w:val="28"/>
          <w:szCs w:val="28"/>
        </w:rPr>
        <w:t>2013)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、计算指定范围的工程量，按</w:t>
      </w:r>
      <w:r>
        <w:rPr>
          <w:rFonts w:ascii="宋体" w:eastAsia="宋体" w:hAnsi="宋体" w:cs="宋体"/>
          <w:kern w:val="0"/>
          <w:sz w:val="28"/>
          <w:szCs w:val="28"/>
        </w:rPr>
        <w:t>11G101-</w:t>
      </w:r>
      <w:r w:rsidRPr="001D4D3F">
        <w:rPr>
          <w:rFonts w:ascii="宋体" w:eastAsia="宋体" w:hAnsi="宋体" w:cs="宋体"/>
          <w:kern w:val="0"/>
          <w:sz w:val="28"/>
          <w:szCs w:val="28"/>
        </w:rPr>
        <w:t>1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1D4D3F">
        <w:rPr>
          <w:rFonts w:ascii="宋体" w:eastAsia="宋体" w:hAnsi="宋体" w:cs="宋体"/>
          <w:kern w:val="0"/>
          <w:sz w:val="28"/>
          <w:szCs w:val="28"/>
        </w:rPr>
        <w:t>2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1D4D3F">
        <w:rPr>
          <w:rFonts w:ascii="宋体" w:eastAsia="宋体" w:hAnsi="宋体" w:cs="宋体"/>
          <w:kern w:val="0"/>
          <w:sz w:val="28"/>
          <w:szCs w:val="28"/>
        </w:rPr>
        <w:t>3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计算指定范围的钢筋工程量；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/>
          <w:kern w:val="0"/>
          <w:sz w:val="28"/>
          <w:szCs w:val="28"/>
        </w:rPr>
        <w:t>2</w:t>
      </w:r>
      <w:r w:rsidR="00B079B5">
        <w:rPr>
          <w:rFonts w:ascii="宋体" w:eastAsia="宋体" w:hAnsi="宋体" w:cs="宋体"/>
          <w:kern w:val="0"/>
          <w:sz w:val="28"/>
          <w:szCs w:val="28"/>
        </w:rPr>
        <w:t>.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成指定工程的土建、钢筋工程量的计算，并按招标文件的要求、考题要求及《建设工程工程量清单计价规范》</w:t>
      </w:r>
      <w:r>
        <w:rPr>
          <w:rFonts w:ascii="宋体" w:eastAsia="宋体" w:hAnsi="宋体" w:cs="宋体"/>
          <w:kern w:val="0"/>
          <w:sz w:val="28"/>
          <w:szCs w:val="28"/>
        </w:rPr>
        <w:t>(GB50500-</w:t>
      </w:r>
      <w:r w:rsidRPr="001D4D3F">
        <w:rPr>
          <w:rFonts w:ascii="宋体" w:eastAsia="宋体" w:hAnsi="宋体" w:cs="宋体"/>
          <w:kern w:val="0"/>
          <w:sz w:val="28"/>
          <w:szCs w:val="28"/>
        </w:rPr>
        <w:t>2013)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要求完成工程组价；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3.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规则和库：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建设工程清单计价规范计算规则（</w:t>
      </w:r>
      <w:r w:rsidRPr="001D4D3F">
        <w:rPr>
          <w:rFonts w:ascii="宋体" w:eastAsia="宋体" w:hAnsi="宋体" w:cs="宋体"/>
          <w:kern w:val="0"/>
          <w:sz w:val="28"/>
          <w:szCs w:val="28"/>
        </w:rPr>
        <w:t>13-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考试专版）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建设工程预算定额（测评考试）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工程清单项目计量规范（测评考试）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/>
          <w:kern w:val="0"/>
          <w:sz w:val="28"/>
          <w:szCs w:val="28"/>
        </w:rPr>
        <w:t>4.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竞赛流程</w:t>
      </w:r>
    </w:p>
    <w:tbl>
      <w:tblPr>
        <w:tblStyle w:val="a5"/>
        <w:tblW w:w="0" w:type="auto"/>
        <w:jc w:val="center"/>
        <w:tblLook w:val="04A0"/>
      </w:tblPr>
      <w:tblGrid>
        <w:gridCol w:w="2074"/>
        <w:gridCol w:w="2356"/>
        <w:gridCol w:w="2074"/>
      </w:tblGrid>
      <w:tr w:rsidR="001D4D3F" w:rsidTr="00CC61F0">
        <w:trPr>
          <w:jc w:val="center"/>
        </w:trPr>
        <w:tc>
          <w:tcPr>
            <w:tcW w:w="2074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6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2074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时长</w:t>
            </w:r>
          </w:p>
        </w:tc>
      </w:tr>
      <w:tr w:rsidR="001D4D3F" w:rsidTr="00CC61F0">
        <w:trPr>
          <w:jc w:val="center"/>
        </w:trPr>
        <w:tc>
          <w:tcPr>
            <w:tcW w:w="2074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/>
                <w:kern w:val="0"/>
                <w:sz w:val="28"/>
                <w:szCs w:val="28"/>
              </w:rPr>
              <w:t>A</w:t>
            </w:r>
          </w:p>
        </w:tc>
        <w:tc>
          <w:tcPr>
            <w:tcW w:w="2356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土建工程量计量</w:t>
            </w:r>
          </w:p>
        </w:tc>
        <w:tc>
          <w:tcPr>
            <w:tcW w:w="2074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/>
                <w:kern w:val="0"/>
                <w:sz w:val="28"/>
                <w:szCs w:val="28"/>
              </w:rPr>
              <w:t>90</w:t>
            </w:r>
            <w:r w:rsidRPr="001D4D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分钟</w:t>
            </w:r>
          </w:p>
        </w:tc>
      </w:tr>
      <w:tr w:rsidR="001D4D3F" w:rsidTr="00CC61F0">
        <w:trPr>
          <w:jc w:val="center"/>
        </w:trPr>
        <w:tc>
          <w:tcPr>
            <w:tcW w:w="2074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/>
                <w:kern w:val="0"/>
                <w:sz w:val="28"/>
                <w:szCs w:val="28"/>
              </w:rPr>
              <w:t>B</w:t>
            </w:r>
          </w:p>
        </w:tc>
        <w:tc>
          <w:tcPr>
            <w:tcW w:w="2356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钢筋工程量计量</w:t>
            </w:r>
          </w:p>
        </w:tc>
        <w:tc>
          <w:tcPr>
            <w:tcW w:w="2074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/>
                <w:kern w:val="0"/>
                <w:sz w:val="28"/>
                <w:szCs w:val="28"/>
              </w:rPr>
              <w:t>90</w:t>
            </w:r>
            <w:r w:rsidRPr="001D4D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分钟</w:t>
            </w:r>
          </w:p>
        </w:tc>
      </w:tr>
      <w:tr w:rsidR="001D4D3F" w:rsidTr="00CC61F0">
        <w:trPr>
          <w:jc w:val="center"/>
        </w:trPr>
        <w:tc>
          <w:tcPr>
            <w:tcW w:w="2074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/>
                <w:kern w:val="0"/>
                <w:sz w:val="28"/>
                <w:szCs w:val="28"/>
              </w:rPr>
              <w:t>C</w:t>
            </w:r>
          </w:p>
        </w:tc>
        <w:tc>
          <w:tcPr>
            <w:tcW w:w="2356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计价组价试题</w:t>
            </w:r>
          </w:p>
        </w:tc>
        <w:tc>
          <w:tcPr>
            <w:tcW w:w="2074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  <w:r w:rsidRPr="001D4D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分钟</w:t>
            </w:r>
          </w:p>
        </w:tc>
      </w:tr>
      <w:tr w:rsidR="001D4D3F" w:rsidTr="00CC61F0">
        <w:trPr>
          <w:jc w:val="center"/>
        </w:trPr>
        <w:tc>
          <w:tcPr>
            <w:tcW w:w="2074" w:type="dxa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4430" w:type="dxa"/>
            <w:gridSpan w:val="2"/>
            <w:vAlign w:val="center"/>
          </w:tcPr>
          <w:p w:rsidR="001D4D3F" w:rsidRDefault="001D4D3F" w:rsidP="00CC61F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D4D3F">
              <w:rPr>
                <w:rFonts w:ascii="宋体" w:eastAsia="宋体" w:hAnsi="宋体" w:cs="宋体"/>
                <w:kern w:val="0"/>
                <w:sz w:val="28"/>
                <w:szCs w:val="28"/>
              </w:rPr>
              <w:t>210</w:t>
            </w:r>
            <w:r w:rsidRPr="001D4D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分钟</w:t>
            </w:r>
          </w:p>
        </w:tc>
      </w:tr>
    </w:tbl>
    <w:p w:rsid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1D4D3F" w:rsidRPr="00F27796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27796">
        <w:rPr>
          <w:rFonts w:ascii="宋体" w:eastAsia="宋体" w:hAnsi="宋体" w:cs="宋体" w:hint="eastAsia"/>
          <w:b/>
          <w:kern w:val="0"/>
          <w:sz w:val="28"/>
          <w:szCs w:val="28"/>
        </w:rPr>
        <w:t>二、竞赛硬件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1.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软件加密锁由广联达提供；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计算机由院校自行准备，配置不低于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2G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内存，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10GB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硬盘，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512M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独显，支持无线网络和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USB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接口，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WinXP/Win7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系统，且必须连接互联网；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上述设备须由参赛选手在赛前自行调试完毕；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3.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参赛选手自备身份证、学生证，计算器、铅笔、橡皮，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11G101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系列平法图集。</w:t>
      </w:r>
    </w:p>
    <w:p w:rsidR="001D4D3F" w:rsidRPr="00B079B5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079B5">
        <w:rPr>
          <w:rFonts w:ascii="宋体" w:eastAsia="宋体" w:hAnsi="宋体" w:cs="宋体" w:hint="eastAsia"/>
          <w:b/>
          <w:kern w:val="0"/>
          <w:sz w:val="28"/>
          <w:szCs w:val="28"/>
        </w:rPr>
        <w:t>三、竞赛软件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广联达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BIM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钢筋算量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 xml:space="preserve">GGJ2013 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版本号：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10.5.0.2099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广联达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BIM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图形算量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 xml:space="preserve">GCL2013 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版本号：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10.5.0.1314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3.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全国职业院校广联达计价软件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GBQ4.0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（赛试专版）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4.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广联达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BIM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安装算量软件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GQI2015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5.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全国职业院校技能大赛加密锁驱动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版本号：</w:t>
      </w:r>
      <w:r w:rsidRPr="001D4D3F">
        <w:rPr>
          <w:rFonts w:ascii="宋体" w:eastAsia="宋体" w:hAnsi="宋体" w:cs="宋体"/>
          <w:kern w:val="0"/>
          <w:sz w:val="28"/>
          <w:szCs w:val="28"/>
        </w:rPr>
        <w:t>288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及以上版本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6.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考试系统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版本号：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3.0.2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上述软件须由参赛选手在赛前自行安装完毕。</w:t>
      </w:r>
    </w:p>
    <w:p w:rsidR="001D4D3F" w:rsidRPr="00B079B5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079B5">
        <w:rPr>
          <w:rFonts w:ascii="宋体" w:eastAsia="宋体" w:hAnsi="宋体" w:cs="宋体" w:hint="eastAsia"/>
          <w:b/>
          <w:kern w:val="0"/>
          <w:sz w:val="28"/>
          <w:szCs w:val="28"/>
        </w:rPr>
        <w:t>四、竞赛评分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钢筋工程量计算：按各类构件在每一层的钢筋量的准确率进行考核，针对于每个填空题如果计算得出的钢筋工程量与标准答案的误差在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5%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以内，该项得分为满分；误差在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15%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范围内，</w:t>
      </w:r>
      <w:r w:rsidR="001D4D3F">
        <w:rPr>
          <w:rFonts w:ascii="宋体" w:eastAsia="宋体" w:hAnsi="宋体" w:cs="宋体"/>
          <w:kern w:val="0"/>
          <w:sz w:val="28"/>
          <w:szCs w:val="28"/>
        </w:rPr>
        <w:t>5%-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15%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区间得分线性分布；误差在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15%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以外，则该项不得分；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土建工程量计算：按清单在每一层的工程量的准确率进行考核，针对于每个填空题如果计算得出的土建工程量与标准答案的误差在</w:t>
      </w:r>
      <w:r w:rsidR="001D4D3F">
        <w:rPr>
          <w:rFonts w:ascii="宋体" w:eastAsia="宋体" w:hAnsi="宋体" w:cs="宋体"/>
          <w:kern w:val="0"/>
          <w:sz w:val="28"/>
          <w:szCs w:val="28"/>
        </w:rPr>
        <w:t>5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以内，该项得分为满分；误差在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15%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范围内，</w:t>
      </w:r>
      <w:r w:rsidR="001D4D3F">
        <w:rPr>
          <w:rFonts w:ascii="宋体" w:eastAsia="宋体" w:hAnsi="宋体" w:cs="宋体"/>
          <w:kern w:val="0"/>
          <w:sz w:val="28"/>
          <w:szCs w:val="28"/>
        </w:rPr>
        <w:t>5%-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15%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区间得分线性分布；误差在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5%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以外，则该项不得分；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3.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BIM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安装工程量计算：按清单在每一层的工程量的准确率进行考核，如果计算得出的安装工程量与标准答案的误差在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2%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以内，该项得分为满分；误差在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5%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范围内，</w:t>
      </w:r>
      <w:r w:rsidR="001D4D3F">
        <w:rPr>
          <w:rFonts w:ascii="宋体" w:eastAsia="宋体" w:hAnsi="宋体" w:cs="宋体"/>
          <w:kern w:val="0"/>
          <w:sz w:val="28"/>
          <w:szCs w:val="28"/>
        </w:rPr>
        <w:t>2%-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5%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区间得分线性分布；误差在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5%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以外，则该项不得分；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4.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钢筋、土建、计价的评分过程通过广联达培训考试系统自动完成，安装评分由学校老师采用安装评分软件导入评分标准完成</w:t>
      </w:r>
      <w:r w:rsidR="00357903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1D4D3F" w:rsidRPr="00B079B5" w:rsidRDefault="00B079B5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079B5">
        <w:rPr>
          <w:rFonts w:ascii="宋体" w:eastAsia="宋体" w:hAnsi="宋体" w:cs="宋体"/>
          <w:b/>
          <w:kern w:val="0"/>
          <w:sz w:val="28"/>
          <w:szCs w:val="28"/>
        </w:rPr>
        <w:t>五</w:t>
      </w:r>
      <w:r w:rsidR="001D4D3F" w:rsidRPr="00B079B5">
        <w:rPr>
          <w:rFonts w:ascii="宋体" w:eastAsia="宋体" w:hAnsi="宋体" w:cs="宋体" w:hint="eastAsia"/>
          <w:b/>
          <w:kern w:val="0"/>
          <w:sz w:val="28"/>
          <w:szCs w:val="28"/>
        </w:rPr>
        <w:t>、竞赛培训辅导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/>
          <w:kern w:val="0"/>
          <w:sz w:val="28"/>
          <w:szCs w:val="28"/>
        </w:rPr>
        <w:t>1</w:t>
      </w:r>
      <w:r w:rsidR="00494E53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参赛选手可登录</w:t>
      </w:r>
      <w:r w:rsidRPr="001D4D3F">
        <w:rPr>
          <w:rFonts w:ascii="宋体" w:eastAsia="宋体" w:hAnsi="宋体" w:cs="宋体"/>
          <w:kern w:val="0"/>
          <w:sz w:val="28"/>
          <w:szCs w:val="28"/>
        </w:rPr>
        <w:t>BIM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应用比赛官网（</w:t>
      </w:r>
      <w:r w:rsidRPr="001D4D3F">
        <w:rPr>
          <w:rFonts w:ascii="宋体" w:eastAsia="宋体" w:hAnsi="宋体" w:cs="宋体"/>
          <w:kern w:val="0"/>
          <w:sz w:val="28"/>
          <w:szCs w:val="28"/>
        </w:rPr>
        <w:t>http://bisai.fwxgx.com/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）下载大赛相关通知、比赛赛制、竞赛软件和学习视频。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/>
          <w:kern w:val="0"/>
          <w:sz w:val="28"/>
          <w:szCs w:val="28"/>
        </w:rPr>
        <w:t>2</w:t>
      </w:r>
      <w:r w:rsidR="00494E53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参赛选手可在考试系统内选用“预赛模拟试题”进行反复练习，强化训练。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/>
          <w:kern w:val="0"/>
          <w:sz w:val="28"/>
          <w:szCs w:val="28"/>
        </w:rPr>
        <w:t>3</w:t>
      </w:r>
      <w:r w:rsidR="00494E53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辅导教材：针对</w:t>
      </w:r>
      <w:r w:rsidRPr="001D4D3F">
        <w:rPr>
          <w:rFonts w:ascii="宋体" w:eastAsia="宋体" w:hAnsi="宋体" w:cs="宋体"/>
          <w:kern w:val="0"/>
          <w:sz w:val="28"/>
          <w:szCs w:val="28"/>
        </w:rPr>
        <w:t>BIM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算量大赛专项辅导，出版有《广联达</w:t>
      </w:r>
      <w:r w:rsidRPr="001D4D3F">
        <w:rPr>
          <w:rFonts w:ascii="宋体" w:eastAsia="宋体" w:hAnsi="宋体" w:cs="宋体"/>
          <w:kern w:val="0"/>
          <w:sz w:val="28"/>
          <w:szCs w:val="28"/>
        </w:rPr>
        <w:t>BIM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算量大赛实训图集》教程，全国各大书店及网店均有购买，（</w:t>
      </w:r>
      <w:r w:rsidR="00EC1794">
        <w:rPr>
          <w:rFonts w:ascii="宋体" w:eastAsia="宋体" w:hAnsi="宋体" w:cs="宋体"/>
          <w:kern w:val="0"/>
          <w:sz w:val="28"/>
          <w:szCs w:val="28"/>
        </w:rPr>
        <w:t>http://deta</w:t>
      </w:r>
      <w:r w:rsidRPr="001D4D3F">
        <w:rPr>
          <w:rFonts w:ascii="宋体" w:eastAsia="宋体" w:hAnsi="宋体" w:cs="宋体"/>
          <w:kern w:val="0"/>
          <w:sz w:val="28"/>
          <w:szCs w:val="28"/>
        </w:rPr>
        <w:t>il.tmall.com/item.htm?spm=0.0.0.0.bskoby&amp;id=45153457385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），也可以直接咨询化学工业出版社，联系人：明廷栋，电话：</w:t>
      </w:r>
      <w:r w:rsidR="00EC1794">
        <w:rPr>
          <w:rFonts w:ascii="宋体" w:eastAsia="宋体" w:hAnsi="宋体" w:cs="宋体"/>
          <w:kern w:val="0"/>
          <w:sz w:val="28"/>
          <w:szCs w:val="28"/>
        </w:rPr>
        <w:t>010-</w:t>
      </w:r>
      <w:r w:rsidRPr="001D4D3F">
        <w:rPr>
          <w:rFonts w:ascii="宋体" w:eastAsia="宋体" w:hAnsi="宋体" w:cs="宋体"/>
          <w:kern w:val="0"/>
          <w:sz w:val="28"/>
          <w:szCs w:val="28"/>
        </w:rPr>
        <w:t>64519788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1D4D3F" w:rsidRPr="001D4D3F" w:rsidRDefault="00EC1794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4</w:t>
      </w:r>
      <w:r w:rsidR="00494E53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大赛答疑：大赛将安排专人负责预赛</w:t>
      </w:r>
      <w:r>
        <w:rPr>
          <w:rFonts w:ascii="宋体" w:eastAsia="宋体" w:hAnsi="宋体" w:cs="宋体" w:hint="eastAsia"/>
          <w:kern w:val="0"/>
          <w:sz w:val="28"/>
          <w:szCs w:val="28"/>
        </w:rPr>
        <w:t>日常问题答疑及专业问题收集归纳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1D4D3F" w:rsidRDefault="00EC1794" w:rsidP="00EC1794">
      <w:pPr>
        <w:autoSpaceDE w:val="0"/>
        <w:autoSpaceDN w:val="0"/>
        <w:adjustRightInd w:val="0"/>
        <w:ind w:right="42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教务处</w:t>
      </w:r>
    </w:p>
    <w:p w:rsidR="00EC1794" w:rsidRPr="001D4D3F" w:rsidRDefault="00EC1794" w:rsidP="00EC1794">
      <w:pPr>
        <w:autoSpaceDE w:val="0"/>
        <w:autoSpaceDN w:val="0"/>
        <w:adjustRightInd w:val="0"/>
        <w:ind w:right="14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建筑</w:t>
      </w:r>
      <w:r>
        <w:rPr>
          <w:rFonts w:ascii="宋体" w:eastAsia="宋体" w:hAnsi="宋体" w:cs="宋体"/>
          <w:kern w:val="0"/>
          <w:sz w:val="28"/>
          <w:szCs w:val="28"/>
        </w:rPr>
        <w:t>工程学院</w:t>
      </w:r>
    </w:p>
    <w:p w:rsidR="001D4D3F" w:rsidRPr="001D4D3F" w:rsidRDefault="00EC1794" w:rsidP="00EC1794">
      <w:pPr>
        <w:autoSpaceDE w:val="0"/>
        <w:autoSpaceDN w:val="0"/>
        <w:adjustRightInd w:val="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2015年6月21日</w:t>
      </w:r>
    </w:p>
    <w:p w:rsidR="00EC1794" w:rsidRDefault="00EC1794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附：竞赛大纲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专业基础知识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房屋建筑与装饰工程工程量清单计算规范》</w:t>
      </w:r>
      <w:r w:rsidR="00EC1794">
        <w:rPr>
          <w:rFonts w:ascii="宋体" w:eastAsia="宋体" w:hAnsi="宋体" w:cs="宋体"/>
          <w:kern w:val="0"/>
          <w:sz w:val="28"/>
          <w:szCs w:val="28"/>
        </w:rPr>
        <w:t>(GB50854-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 xml:space="preserve">2013) 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、《建设工程工程量清单计价规范》</w:t>
      </w:r>
      <w:r w:rsidR="00EC1794">
        <w:rPr>
          <w:rFonts w:ascii="宋体" w:eastAsia="宋体" w:hAnsi="宋体" w:cs="宋体"/>
          <w:kern w:val="0"/>
          <w:sz w:val="28"/>
          <w:szCs w:val="28"/>
        </w:rPr>
        <w:t>(GB50500-2013)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(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以下简称《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13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规范》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)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2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）了解《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13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规范》编制的法律依据、适用范围、行使主体等基础内容：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掌握《</w:t>
      </w:r>
      <w:r w:rsidRPr="001D4D3F">
        <w:rPr>
          <w:rFonts w:ascii="宋体" w:eastAsia="宋体" w:hAnsi="宋体" w:cs="宋体"/>
          <w:kern w:val="0"/>
          <w:sz w:val="28"/>
          <w:szCs w:val="28"/>
        </w:rPr>
        <w:t>13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规范》的附录构成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掌握《</w:t>
      </w:r>
      <w:r w:rsidRPr="001D4D3F">
        <w:rPr>
          <w:rFonts w:ascii="宋体" w:eastAsia="宋体" w:hAnsi="宋体" w:cs="宋体"/>
          <w:kern w:val="0"/>
          <w:sz w:val="28"/>
          <w:szCs w:val="28"/>
        </w:rPr>
        <w:t>13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规范》中术语内容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掌握工程量清单的编制的基础知识及方法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掌握工程量清单项目特征的编制原则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掌握《</w:t>
      </w:r>
      <w:r w:rsidRPr="001D4D3F">
        <w:rPr>
          <w:rFonts w:ascii="宋体" w:eastAsia="宋体" w:hAnsi="宋体" w:cs="宋体"/>
          <w:kern w:val="0"/>
          <w:sz w:val="28"/>
          <w:szCs w:val="28"/>
        </w:rPr>
        <w:t>13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规范》中工程计量与价款支付的条款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掌握《</w:t>
      </w:r>
      <w:r w:rsidRPr="001D4D3F">
        <w:rPr>
          <w:rFonts w:ascii="宋体" w:eastAsia="宋体" w:hAnsi="宋体" w:cs="宋体"/>
          <w:kern w:val="0"/>
          <w:sz w:val="28"/>
          <w:szCs w:val="28"/>
        </w:rPr>
        <w:t>13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规范》中工程结算的相关内容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掌握工程量清单的定额组价方法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掌握主要构件的计算规则；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3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）平面整体表示方法制图规则和构造详图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 xml:space="preserve"> 11G101-1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2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3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掌握柱平法施工图表示方法，能够正确读图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掌握框架柱、暗柱端柱的构造详图，能够描述钢筋的配置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掌握剪力墙平法施工图制图规则，能够正确读图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了解剪力墙的构件详图，能够描述钢筋配置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掌握梁的平法表示方法，能够正确识梁中的配筋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掌握梁的构件详图，能够描述钢筋的配置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掌握板的平法表示方法，能够正确识图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掌握有梁楼盖板的构造详图，描述板中钢筋的配置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了解独立基础平法施工图制图规则及配筋构造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了解条形基础平法施工图制图规则及配盘构造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了解梁板式筏形基础平法施工图制图规则及配筋构造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掌握桩基承台平法施工图制图规则及配筋构造；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4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）识图与房屋构造的相关知识点：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掌握基本制图原理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了解建筑物的组成系统及功能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掌握建筑物的平面、立面、剖面及构造详图；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2.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软件应用能力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1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）掌握土建算量软件的应用方法：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掌握软件应用的基本流程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掌握软件算量的基本原理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能够正确建立楼层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能够绘制正交、斜交轴网、圆弧轴网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掌握软件的基本操作方法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掌握各类构件的建模方式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掌握工程量代码的灵活应用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掌握做法的相关操作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掌握多人协同编制的技巧；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</w:t>
      </w:r>
      <w:r w:rsidRPr="001D4D3F">
        <w:rPr>
          <w:rFonts w:ascii="宋体" w:eastAsia="宋体" w:hAnsi="宋体" w:cs="宋体"/>
          <w:kern w:val="0"/>
          <w:sz w:val="28"/>
          <w:szCs w:val="28"/>
        </w:rPr>
        <w:t>REVIT</w:t>
      </w: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模型导入土建算量软件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2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）掌握钢筋抽样软件的应用方法：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掌握软件的应用流程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掌握各类构件的计算设置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能够正确建立楼层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掌握软件的画法的基本功能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掌握各类构件的建模方法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掌握各类构件的钢筋输入方法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掌握楼梯的单构件输入方法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掌握提取钢筋的方法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掌握块存盘、层间复制的基本方法；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掌握土建导入钢筋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3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）工程量清单计价软件的应用方法：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掌握软件的应用流程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掌握工程量清单、定额的输入方法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掌握补充工程量清单的方法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能够正确区分工程量与定额含量的关系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能够正进行人材机的换算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能够按要求调整管理费和利润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能够正确处理措施项目清单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能够正确调整材料价格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能够正确调整税率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能够按要求输出投标文件；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4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）掌握土建算量与钢筋共用模型的方法：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能够根据工程特点，对工作进行规划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掌握从钢筋文件中读取模型的方法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掌握多人共同计算钢筋的方法，如分层、用块存盘、工程合并等功能</w:t>
      </w:r>
      <w:bookmarkStart w:id="0" w:name="_GoBack"/>
      <w:bookmarkEnd w:id="0"/>
      <w:r w:rsidRPr="001D4D3F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1D4D3F" w:rsidRPr="001D4D3F" w:rsidRDefault="00494E53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D4D3F" w:rsidRPr="001D4D3F">
        <w:rPr>
          <w:rFonts w:ascii="宋体" w:eastAsia="宋体" w:hAnsi="宋体" w:cs="宋体"/>
          <w:kern w:val="0"/>
          <w:sz w:val="28"/>
          <w:szCs w:val="28"/>
        </w:rPr>
        <w:t>5</w:t>
      </w:r>
      <w:r w:rsidR="001D4D3F" w:rsidRPr="001D4D3F">
        <w:rPr>
          <w:rFonts w:ascii="宋体" w:eastAsia="宋体" w:hAnsi="宋体" w:cs="宋体" w:hint="eastAsia"/>
          <w:kern w:val="0"/>
          <w:sz w:val="28"/>
          <w:szCs w:val="28"/>
        </w:rPr>
        <w:t>）掌握工程量清单计价与土建算量、钢筋抽样软件的结合应用：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能够从土建算量文件中读取工程量清单与定额</w:t>
      </w:r>
    </w:p>
    <w:p w:rsidR="001D4D3F" w:rsidRPr="001D4D3F" w:rsidRDefault="001D4D3F" w:rsidP="001D4D3F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能够根据需要从土建算量软件中提取组价中的定额量</w:t>
      </w:r>
    </w:p>
    <w:p w:rsidR="00FE41AB" w:rsidRPr="001D4D3F" w:rsidRDefault="001D4D3F" w:rsidP="001D4D3F">
      <w:pPr>
        <w:rPr>
          <w:rFonts w:ascii="宋体" w:eastAsia="宋体" w:hAnsi="宋体" w:cs="宋体"/>
          <w:kern w:val="0"/>
          <w:sz w:val="28"/>
          <w:szCs w:val="28"/>
        </w:rPr>
      </w:pPr>
      <w:r w:rsidRPr="001D4D3F">
        <w:rPr>
          <w:rFonts w:ascii="宋体" w:eastAsia="宋体" w:hAnsi="宋体" w:cs="宋体" w:hint="eastAsia"/>
          <w:kern w:val="0"/>
          <w:sz w:val="28"/>
          <w:szCs w:val="28"/>
        </w:rPr>
        <w:t>能够根据清单的要求提取钢筋的工程量。</w:t>
      </w:r>
    </w:p>
    <w:sectPr w:rsidR="00FE41AB" w:rsidRPr="001D4D3F" w:rsidSect="0033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00" w:rsidRDefault="00341500" w:rsidP="001D4D3F">
      <w:r>
        <w:separator/>
      </w:r>
    </w:p>
  </w:endnote>
  <w:endnote w:type="continuationSeparator" w:id="0">
    <w:p w:rsidR="00341500" w:rsidRDefault="00341500" w:rsidP="001D4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00" w:rsidRDefault="00341500" w:rsidP="001D4D3F">
      <w:r>
        <w:separator/>
      </w:r>
    </w:p>
  </w:footnote>
  <w:footnote w:type="continuationSeparator" w:id="0">
    <w:p w:rsidR="00341500" w:rsidRDefault="00341500" w:rsidP="001D4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143"/>
    <w:rsid w:val="001D4D3F"/>
    <w:rsid w:val="0025139D"/>
    <w:rsid w:val="00331415"/>
    <w:rsid w:val="003322E2"/>
    <w:rsid w:val="00341500"/>
    <w:rsid w:val="00357903"/>
    <w:rsid w:val="00494E53"/>
    <w:rsid w:val="005E2BCD"/>
    <w:rsid w:val="00797960"/>
    <w:rsid w:val="00B079B5"/>
    <w:rsid w:val="00CC61F0"/>
    <w:rsid w:val="00DC3143"/>
    <w:rsid w:val="00EC1794"/>
    <w:rsid w:val="00F27796"/>
    <w:rsid w:val="00F76C3C"/>
    <w:rsid w:val="00FE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4D3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D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4D3F"/>
    <w:rPr>
      <w:rFonts w:ascii="Times New Roman" w:eastAsia="宋体" w:hAnsi="Times New Roman" w:cs="Times New Roman"/>
      <w:b/>
      <w:kern w:val="44"/>
      <w:sz w:val="44"/>
      <w:szCs w:val="20"/>
    </w:rPr>
  </w:style>
  <w:style w:type="table" w:styleId="a5">
    <w:name w:val="Table Grid"/>
    <w:basedOn w:val="a1"/>
    <w:uiPriority w:val="39"/>
    <w:rsid w:val="001D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zhaopeng</dc:creator>
  <cp:lastModifiedBy>Administrator</cp:lastModifiedBy>
  <cp:revision>2</cp:revision>
  <dcterms:created xsi:type="dcterms:W3CDTF">2015-06-23T01:27:00Z</dcterms:created>
  <dcterms:modified xsi:type="dcterms:W3CDTF">2015-06-23T01:27:00Z</dcterms:modified>
</cp:coreProperties>
</file>