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附件2:</w:t>
      </w:r>
    </w:p>
    <w:p>
      <w:pPr>
        <w:spacing w:beforeLines="200" w:afterLines="5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山东理工大学“十三五”规划重点行动落实措施及进展状况统计表</w:t>
      </w:r>
    </w:p>
    <w:p>
      <w:pPr>
        <w:spacing w:beforeLine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填报单位（盖章）:</w:t>
      </w:r>
      <w:r>
        <w:rPr>
          <w:rFonts w:hint="eastAsia" w:ascii="宋体" w:hAnsi="宋体" w:eastAsia="宋体"/>
          <w:sz w:val="28"/>
          <w:szCs w:val="28"/>
          <w:lang w:eastAsia="zh-CN"/>
        </w:rPr>
        <w:t>创新创业学院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</w:rPr>
        <w:t xml:space="preserve"> 重点行动名称: </w:t>
      </w:r>
      <w:r>
        <w:rPr>
          <w:rFonts w:hint="eastAsia" w:ascii="仿宋" w:hAnsi="仿宋" w:eastAsia="仿宋"/>
          <w:sz w:val="28"/>
          <w:szCs w:val="28"/>
        </w:rPr>
        <w:t>人才培养重点行动</w:t>
      </w:r>
      <w:r>
        <w:rPr>
          <w:rFonts w:hint="eastAsia" w:ascii="宋体" w:hAnsi="宋体" w:eastAsia="宋体"/>
          <w:sz w:val="28"/>
          <w:szCs w:val="28"/>
        </w:rPr>
        <w:t xml:space="preserve">     重点工程名称: </w:t>
      </w:r>
      <w:r>
        <w:rPr>
          <w:rFonts w:hint="eastAsia" w:ascii="仿宋" w:hAnsi="仿宋" w:eastAsia="仿宋"/>
          <w:sz w:val="28"/>
          <w:szCs w:val="28"/>
        </w:rPr>
        <w:t>学生创新创业教育建设工程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</w:p>
    <w:tbl>
      <w:tblPr>
        <w:tblStyle w:val="6"/>
        <w:tblW w:w="153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2693"/>
        <w:gridCol w:w="2693"/>
        <w:gridCol w:w="2552"/>
        <w:gridCol w:w="2551"/>
        <w:gridCol w:w="2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50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建设目标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具体措施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时间进度</w:t>
            </w:r>
          </w:p>
        </w:tc>
        <w:tc>
          <w:tcPr>
            <w:tcW w:w="2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进展情况</w:t>
            </w:r>
          </w:p>
        </w:tc>
        <w:tc>
          <w:tcPr>
            <w:tcW w:w="255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主要问题</w:t>
            </w:r>
          </w:p>
        </w:tc>
        <w:tc>
          <w:tcPr>
            <w:tcW w:w="231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后续举措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2508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1、制定深化学生创新创业教育改革实施方案</w:t>
            </w:r>
          </w:p>
        </w:tc>
        <w:tc>
          <w:tcPr>
            <w:tcW w:w="2693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制定了《山东理工大学深化创新创业教育改革实施方案》</w:t>
            </w:r>
          </w:p>
        </w:tc>
        <w:tc>
          <w:tcPr>
            <w:tcW w:w="2693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于2016年6月20日学校发文（鲁理工大政发〔2016〕107号）</w:t>
            </w:r>
          </w:p>
        </w:tc>
        <w:tc>
          <w:tcPr>
            <w:tcW w:w="2552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已经完成</w:t>
            </w:r>
          </w:p>
        </w:tc>
        <w:tc>
          <w:tcPr>
            <w:tcW w:w="2551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相关部门、学院对实施方案有待于落实</w:t>
            </w:r>
          </w:p>
        </w:tc>
        <w:tc>
          <w:tcPr>
            <w:tcW w:w="2312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加强工作指导、交流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9" w:hRule="atLeast"/>
          <w:jc w:val="center"/>
        </w:trPr>
        <w:tc>
          <w:tcPr>
            <w:tcW w:w="2508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2、深入推进学生研究与创新训练计划、学生创业培育计划</w:t>
            </w:r>
          </w:p>
        </w:tc>
        <w:tc>
          <w:tcPr>
            <w:tcW w:w="2693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1、起草制定《山东理工大学创新创业竞赛管理办法》、《山东理工大学创新创业实践学分认定管理办法》二个文件。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2、重点推进重点赛事，如国创大赛、互联网+、大学生科技创新大赛等。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3、选拔第三期创业精英班。</w:t>
            </w:r>
          </w:p>
        </w:tc>
        <w:tc>
          <w:tcPr>
            <w:tcW w:w="2693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1、目前正在征求意见中，于近日上办公会讨论。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2、上半年重点推进赛事。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</w:p>
        </w:tc>
        <w:tc>
          <w:tcPr>
            <w:tcW w:w="2552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1、2个文件预计于2017年9-10月学校发文。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2、第三期创业精英班已经开班</w:t>
            </w:r>
          </w:p>
        </w:tc>
        <w:tc>
          <w:tcPr>
            <w:tcW w:w="2551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1、学院创新创业竞赛不均衡，重视程度不够，有待于继续挖掘。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2、经费明显不足，不足以支持足够数量的创新创业竞赛。</w:t>
            </w:r>
          </w:p>
        </w:tc>
        <w:tc>
          <w:tcPr>
            <w:tcW w:w="2312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配合学院挖掘高层次创新创业类赛事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2508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3、完善创新创业教育课程体系</w:t>
            </w:r>
          </w:p>
        </w:tc>
        <w:tc>
          <w:tcPr>
            <w:tcW w:w="2693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1、建设《创业创新领导力》、《创新思维训练》两门在线开放课程；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2、发布《关于开展创新创业教育改革项目申报工作的通知》，积极鼓励支持学院、教师开展创新创业试点专业和创新创业试点课程，推动开发“专业+创新创业”类的课程。</w:t>
            </w:r>
          </w:p>
        </w:tc>
        <w:tc>
          <w:tcPr>
            <w:tcW w:w="2693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1、二门在线课程已于2017年新学期初对学生开放。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2、申报通知正在执行中。</w:t>
            </w:r>
          </w:p>
        </w:tc>
        <w:tc>
          <w:tcPr>
            <w:tcW w:w="2552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项目申报正在进行中</w:t>
            </w:r>
          </w:p>
        </w:tc>
        <w:tc>
          <w:tcPr>
            <w:tcW w:w="2551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离每年建设10门左右创新创业类课程和引进、自建15-20门七星慕课和视频公开课、联合编写创新创业教育教材5-8部还有一定距离</w:t>
            </w:r>
          </w:p>
        </w:tc>
        <w:tc>
          <w:tcPr>
            <w:tcW w:w="2312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1、积极鼓励学院专业教师参加培训，提高创新创业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2、加大工作支持力度，激励老师编写创新创业类教材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2508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4、配强创新创业教育师资队伍</w:t>
            </w:r>
          </w:p>
        </w:tc>
        <w:tc>
          <w:tcPr>
            <w:tcW w:w="2693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1、举办创新方法师资培训班；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2、举办KAB创业教育讲师培训班；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3、加强对外合作，挖掘校内、校外导师资源。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</w:p>
        </w:tc>
        <w:tc>
          <w:tcPr>
            <w:tcW w:w="2693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1、2017年1月6日举办创新方法师资培训，培训各理工科专业骨干教师68名；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2、2017年1月11日-14日，举办KAB创业教育讲师培训，培训骨干教师30名。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3、2017年4月16日，举行导师聘任仪式。聘任24位校外创业导师。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4、2017年9月1日，山东省教育厅下文聘任我校74名创新教育导师、学科专业创业、创业教育导师。</w:t>
            </w:r>
          </w:p>
        </w:tc>
        <w:tc>
          <w:tcPr>
            <w:tcW w:w="2552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推进过程中</w:t>
            </w:r>
          </w:p>
        </w:tc>
        <w:tc>
          <w:tcPr>
            <w:tcW w:w="2551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创新师资培训还需要加强，只有个别学院有专业+创新创业课程师资，要实现面向全体学生开设相关课程，还需要学院重视并加强专业教师的师资培训工作</w:t>
            </w:r>
          </w:p>
        </w:tc>
        <w:tc>
          <w:tcPr>
            <w:tcW w:w="2312" w:type="dxa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每年举办创新师资培训班和创业教育培训班</w:t>
            </w:r>
          </w:p>
          <w:p>
            <w:pPr>
              <w:numPr>
                <w:ilvl w:val="0"/>
                <w:numId w:val="1"/>
              </w:num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支持试点学院、试点专业发展，借鉴经验，全面推广</w:t>
            </w:r>
          </w:p>
          <w:p>
            <w:pPr>
              <w:numPr>
                <w:ilvl w:val="0"/>
                <w:numId w:val="0"/>
              </w:num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  <w:jc w:val="center"/>
        </w:trPr>
        <w:tc>
          <w:tcPr>
            <w:tcW w:w="2508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5、加强创新型实验室、创业孵化基地建设</w:t>
            </w:r>
          </w:p>
        </w:tc>
        <w:tc>
          <w:tcPr>
            <w:tcW w:w="2693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1、支持学院建设创新实验室和创业实验室。</w:t>
            </w:r>
          </w:p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2、优化大红炉众创空间项目和布局。</w:t>
            </w:r>
          </w:p>
        </w:tc>
        <w:tc>
          <w:tcPr>
            <w:tcW w:w="2693" w:type="dxa"/>
          </w:tcPr>
          <w:p>
            <w:p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2017年年初对学院创新实验室和创业实验室经费支持和验收考核（部分期中考核）。</w:t>
            </w:r>
          </w:p>
        </w:tc>
        <w:tc>
          <w:tcPr>
            <w:tcW w:w="2552" w:type="dxa"/>
          </w:tcPr>
          <w:p>
            <w:pPr>
              <w:numPr>
                <w:ilvl w:val="0"/>
                <w:numId w:val="2"/>
              </w:num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每年经费支持13个创业实验室和11个创新实验室建设，并对创新实验室进行考核、验收。</w:t>
            </w:r>
          </w:p>
          <w:p>
            <w:pPr>
              <w:numPr>
                <w:ilvl w:val="0"/>
                <w:numId w:val="2"/>
              </w:num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优化大红炉众创空间，为创新创业者提供良好环境。</w:t>
            </w:r>
          </w:p>
        </w:tc>
        <w:tc>
          <w:tcPr>
            <w:tcW w:w="2551" w:type="dxa"/>
            <w:vAlign w:val="center"/>
          </w:tcPr>
          <w:p>
            <w:pPr>
              <w:numPr>
                <w:ilvl w:val="0"/>
                <w:numId w:val="3"/>
              </w:num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学院创新实验室发展不均衡，缺少必要的专业指导教师</w:t>
            </w:r>
          </w:p>
          <w:p>
            <w:pPr>
              <w:numPr>
                <w:ilvl w:val="0"/>
                <w:numId w:val="3"/>
              </w:num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学院创业实验室还需要提供利用率</w:t>
            </w:r>
          </w:p>
        </w:tc>
        <w:tc>
          <w:tcPr>
            <w:tcW w:w="2312" w:type="dxa"/>
            <w:vAlign w:val="center"/>
          </w:tcPr>
          <w:p>
            <w:pPr>
              <w:numPr>
                <w:ilvl w:val="0"/>
                <w:numId w:val="4"/>
              </w:num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建立和推进创新实验室建设标准，定期考核、验收</w:t>
            </w:r>
          </w:p>
          <w:p>
            <w:pPr>
              <w:numPr>
                <w:ilvl w:val="0"/>
                <w:numId w:val="4"/>
              </w:numPr>
              <w:spacing w:line="300" w:lineRule="exact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加强对学院创业实验室指导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atLeast"/>
          <w:jc w:val="center"/>
        </w:trPr>
        <w:tc>
          <w:tcPr>
            <w:tcW w:w="2508" w:type="dxa"/>
          </w:tcPr>
          <w:p>
            <w:pPr>
              <w:spacing w:line="3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6、</w:t>
            </w:r>
            <w:r>
              <w:rPr>
                <w:rFonts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建立创新创业工作激励机制。</w:t>
            </w:r>
          </w:p>
        </w:tc>
        <w:tc>
          <w:tcPr>
            <w:tcW w:w="2693" w:type="dxa"/>
            <w:vAlign w:val="top"/>
          </w:tcPr>
          <w:p>
            <w:pPr>
              <w:spacing w:line="3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起草制定《山东理工大学创新创业竞赛管理办法》、《山东理工大学创新创业实践学分认定管理办法》二个文件。</w:t>
            </w:r>
          </w:p>
        </w:tc>
        <w:tc>
          <w:tcPr>
            <w:tcW w:w="2693" w:type="dxa"/>
            <w:vAlign w:val="top"/>
          </w:tcPr>
          <w:p>
            <w:pPr>
              <w:spacing w:line="3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目前正在征求意见中，于近日上办公会讨论。</w:t>
            </w:r>
          </w:p>
        </w:tc>
        <w:tc>
          <w:tcPr>
            <w:tcW w:w="2552" w:type="dxa"/>
            <w:vAlign w:val="top"/>
          </w:tcPr>
          <w:p>
            <w:pPr>
              <w:spacing w:line="3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预计于2017年9-10月学校发文。</w:t>
            </w:r>
          </w:p>
        </w:tc>
        <w:tc>
          <w:tcPr>
            <w:tcW w:w="2551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学院创新创业竞赛不均衡，有待于继续挖掘</w:t>
            </w:r>
          </w:p>
        </w:tc>
        <w:tc>
          <w:tcPr>
            <w:tcW w:w="2312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配合学院挖掘高层次创新创业类赛事</w:t>
            </w:r>
          </w:p>
        </w:tc>
      </w:tr>
    </w:tbl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                                     负责人：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 xml:space="preserve">      填报时间：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A2EA2"/>
    <w:multiLevelType w:val="singleLevel"/>
    <w:tmpl w:val="59BA2EA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BB1F99"/>
    <w:multiLevelType w:val="singleLevel"/>
    <w:tmpl w:val="59BB1F9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BB20D0"/>
    <w:multiLevelType w:val="singleLevel"/>
    <w:tmpl w:val="59BB20D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BB2110"/>
    <w:multiLevelType w:val="singleLevel"/>
    <w:tmpl w:val="59BB211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137"/>
    <w:rsid w:val="007D2137"/>
    <w:rsid w:val="00F936BD"/>
    <w:rsid w:val="014312CC"/>
    <w:rsid w:val="01754D97"/>
    <w:rsid w:val="075516D3"/>
    <w:rsid w:val="07582944"/>
    <w:rsid w:val="0E9B4B20"/>
    <w:rsid w:val="1473455F"/>
    <w:rsid w:val="17701CFC"/>
    <w:rsid w:val="1DA3019E"/>
    <w:rsid w:val="21C97C21"/>
    <w:rsid w:val="2367701B"/>
    <w:rsid w:val="26874A67"/>
    <w:rsid w:val="285B29B6"/>
    <w:rsid w:val="2CFA7049"/>
    <w:rsid w:val="319A57B7"/>
    <w:rsid w:val="37B00A3F"/>
    <w:rsid w:val="39FB4A63"/>
    <w:rsid w:val="3C326A91"/>
    <w:rsid w:val="3D2B7A2D"/>
    <w:rsid w:val="40F16613"/>
    <w:rsid w:val="42415C87"/>
    <w:rsid w:val="4B5F4878"/>
    <w:rsid w:val="51DA5A8F"/>
    <w:rsid w:val="52376D39"/>
    <w:rsid w:val="52A6604B"/>
    <w:rsid w:val="544549B6"/>
    <w:rsid w:val="563755FB"/>
    <w:rsid w:val="5B941159"/>
    <w:rsid w:val="61933F20"/>
    <w:rsid w:val="63C314DA"/>
    <w:rsid w:val="63E74499"/>
    <w:rsid w:val="64355328"/>
    <w:rsid w:val="64D006FC"/>
    <w:rsid w:val="67F03E3E"/>
    <w:rsid w:val="68FF3E7F"/>
    <w:rsid w:val="6D5B596A"/>
    <w:rsid w:val="6F4315F3"/>
    <w:rsid w:val="705E0384"/>
    <w:rsid w:val="74BD38A1"/>
    <w:rsid w:val="7B3E6687"/>
    <w:rsid w:val="7BCF1C3D"/>
    <w:rsid w:val="7D0F6B07"/>
    <w:rsid w:val="7D2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42</Words>
  <Characters>241</Characters>
  <Lines>2</Lines>
  <Paragraphs>1</Paragraphs>
  <ScaleCrop>false</ScaleCrop>
  <LinksUpToDate>false</LinksUpToDate>
  <CharactersWithSpaces>282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2017-09-13T00:51:00Z</dcterms:created>
  <dc:creator>nan</dc:creator>
  <cp:lastModifiedBy>Administrator</cp:lastModifiedBy>
  <cp:lastPrinted>2017-09-21T00:10:34Z</cp:lastPrinted>
  <dcterms:modified xsi:type="dcterms:W3CDTF">2017-09-21T00:12:50Z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